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40" w:after="160"/>
      </w:pPr>
      <w:r>
        <w:rPr>
          <w:rFonts w:ascii="Calibri" w:hAnsi="Calibri" w:eastAsia="Calibri"/>
          <w:b/>
          <w:caps/>
          <w:color w:val="66736E"/>
          <w:sz w:val="18"/>
        </w:rPr>
        <w:t>AUTOEVALUARE INIȚIALĂ</w:t>
      </w:r>
    </w:p>
    <w:p>
      <w:pPr>
        <w:keepNext/>
        <w:spacing w:before="0" w:after="200"/>
      </w:pPr>
      <w:r>
        <w:rPr>
          <w:rFonts w:ascii="Calibri" w:hAnsi="Calibri" w:eastAsia="Calibri"/>
          <w:b/>
          <w:color w:val="092F29"/>
          <w:sz w:val="56"/>
        </w:rPr>
        <w:t>Checklist de conformare de mediu pentru firme</w:t>
      </w:r>
    </w:p>
    <w:p>
      <w:pPr>
        <w:spacing w:before="0" w:after="360" w:line="288" w:lineRule="auto"/>
      </w:pPr>
      <w:r>
        <w:rPr>
          <w:rFonts w:ascii="Calibri" w:hAnsi="Calibri" w:eastAsia="Calibri"/>
          <w:color w:val="66736E"/>
          <w:sz w:val="25"/>
        </w:rPr>
        <w:t>Identifică rapid documentele lipsă, termenele necontrolate și zonele care cer verificare de specialitate.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9C3C0"/>
          <w:left w:val="single" w:sz="4" w:space="0" w:color="B9C3C0"/>
          <w:bottom w:val="single" w:sz="4" w:space="0" w:color="B9C3C0"/>
          <w:right w:val="single" w:sz="4" w:space="0" w:color="B9C3C0"/>
          <w:insideH w:val="single" w:sz="4" w:space="0" w:color="B9C3C0"/>
          <w:insideV w:val="single" w:sz="4" w:space="0" w:color="B9C3C0"/>
        </w:tblBorders>
      </w:tblPr>
      <w:tblGrid>
        <w:gridCol w:w="1800"/>
        <w:gridCol w:w="7560"/>
      </w:tblGrid>
      <w:tr>
        <w:trPr>
          <w:cantSplit/>
          <w:tblHeader w:val="true"/>
        </w:trPr>
        <w:tc>
          <w:tcPr>
            <w:tcW w:type="dxa" w:w="18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Câmp</w:t>
            </w:r>
          </w:p>
        </w:tc>
        <w:tc>
          <w:tcPr>
            <w:tcW w:type="dxa" w:w="756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Informație</w:t>
            </w:r>
          </w:p>
        </w:tc>
      </w:tr>
      <w:tr>
        <w:trPr>
          <w:cantSplit/>
        </w:trPr>
        <w:tc>
          <w:tcPr>
            <w:tcW w:type="dxa" w:w="1800"/>
            <w:shd w:fill="E7ED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Destinat</w:t>
            </w:r>
          </w:p>
        </w:tc>
        <w:tc>
          <w:tcPr>
            <w:tcW w:type="dxa" w:w="7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  <w:t>Societăți comerciale și operatori economici</w:t>
            </w:r>
          </w:p>
        </w:tc>
      </w:tr>
      <w:tr>
        <w:trPr>
          <w:cantSplit/>
        </w:trPr>
        <w:tc>
          <w:tcPr>
            <w:tcW w:type="dxa" w:w="1800"/>
            <w:shd w:fill="E7ED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Format</w:t>
            </w:r>
          </w:p>
        </w:tc>
        <w:tc>
          <w:tcPr>
            <w:tcW w:type="dxa" w:w="7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  <w:t>Model editabil Word și versiune PDF pentru consultare/print</w:t>
            </w:r>
          </w:p>
        </w:tc>
      </w:tr>
      <w:tr>
        <w:trPr>
          <w:cantSplit/>
        </w:trPr>
        <w:tc>
          <w:tcPr>
            <w:tcW w:type="dxa" w:w="1800"/>
            <w:shd w:fill="E7ED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Actualizare</w:t>
            </w:r>
          </w:p>
        </w:tc>
        <w:tc>
          <w:tcPr>
            <w:tcW w:type="dxa" w:w="7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  <w:t>25 august 2026</w:t>
            </w:r>
          </w:p>
        </w:tc>
      </w:tr>
      <w:tr>
        <w:trPr>
          <w:cantSplit/>
        </w:trPr>
        <w:tc>
          <w:tcPr>
            <w:tcW w:type="dxa" w:w="1800"/>
            <w:shd w:fill="E7ED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Statut</w:t>
            </w:r>
          </w:p>
        </w:tc>
        <w:tc>
          <w:tcPr>
            <w:tcW w:type="dxa" w:w="7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  <w:t>Instrument orientativ. Necesită verificare și adaptare înainte de utilizare externă.</w:t>
            </w:r>
          </w:p>
        </w:tc>
      </w:tr>
    </w:tbl>
    <w:p>
      <w:pPr>
        <w:spacing w:after="40"/>
      </w:pPr>
    </w:p>
    <w:p>
      <w:pPr>
        <w:pStyle w:val="Heading1"/>
      </w:pPr>
      <w:r>
        <w:t>1. Scopul și utilizarea documentului</w:t>
      </w:r>
    </w:p>
    <w:p>
      <w:pPr>
        <w:keepLines/>
        <w:spacing w:before="80" w:after="120" w:line="288" w:lineRule="auto"/>
        <w:ind w:left="173" w:right="173"/>
        <w:shd w:fill="E7EDEB"/>
        <w:pBdr>
          <w:top w:val="single" w:sz="4" w:space="8" w:color="E7EDEB"/>
          <w:left w:val="single" w:sz="4" w:space="8" w:color="E7EDEB"/>
          <w:bottom w:val="single" w:sz="4" w:space="8" w:color="E7EDEB"/>
          <w:right w:val="single" w:sz="4" w:space="8" w:color="E7EDEB"/>
        </w:pBdr>
      </w:pPr>
      <w:r>
        <w:rPr>
          <w:rFonts w:ascii="Calibri" w:hAnsi="Calibri" w:eastAsia="Calibri"/>
          <w:b/>
          <w:color w:val="092F29"/>
          <w:sz w:val="17"/>
        </w:rPr>
        <w:t>SCOP</w:t>
        <w:br/>
      </w:r>
      <w:r>
        <w:rPr>
          <w:rFonts w:ascii="Calibri" w:hAnsi="Calibri" w:eastAsia="Calibri"/>
          <w:color w:val="092F29"/>
          <w:sz w:val="21"/>
        </w:rPr>
        <w:t>Checklistul oferă o imagine inițială asupra modului în care obligațiile de mediu sunt identificate, documentate și urmărite. Nu stabilește singur aplicabilitatea unei obligații și nu certifică conformitatea.</w:t>
      </w:r>
    </w:p>
    <w:p>
      <w:pPr>
        <w:spacing w:after="20"/>
      </w:pPr>
    </w:p>
    <w:p>
      <w:pPr>
        <w:pStyle w:val="Heading2"/>
      </w:pPr>
      <w:r>
        <w:t>Când este util</w:t>
      </w:r>
    </w:p>
    <w:p>
      <w:pPr>
        <w:pStyle w:val="ListBullet"/>
      </w:pPr>
      <w:r>
        <w:rPr>
          <w:rFonts w:ascii="Calibri" w:hAnsi="Calibri" w:eastAsia="Calibri"/>
        </w:rPr>
        <w:t>Înaintea unui audit sau control.</w:t>
      </w:r>
    </w:p>
    <w:p>
      <w:pPr>
        <w:pStyle w:val="ListBullet"/>
      </w:pPr>
      <w:r>
        <w:rPr>
          <w:rFonts w:ascii="Calibri" w:hAnsi="Calibri" w:eastAsia="Calibri"/>
        </w:rPr>
        <w:t>La deschiderea, preluarea ori modificarea unui punct de lucru.</w:t>
      </w:r>
    </w:p>
    <w:p>
      <w:pPr>
        <w:pStyle w:val="ListBullet"/>
      </w:pPr>
      <w:r>
        <w:rPr>
          <w:rFonts w:ascii="Calibri" w:hAnsi="Calibri" w:eastAsia="Calibri"/>
        </w:rPr>
        <w:t>La schimbarea responsabilului de mediu.</w:t>
      </w:r>
    </w:p>
    <w:p>
      <w:pPr>
        <w:pStyle w:val="ListBullet"/>
      </w:pPr>
      <w:r>
        <w:rPr>
          <w:rFonts w:ascii="Calibri" w:hAnsi="Calibri" w:eastAsia="Calibri"/>
        </w:rPr>
        <w:t>Când evidențele, raportările și documentele sunt gestionate de departamente diferite.</w:t>
      </w:r>
    </w:p>
    <w:p>
      <w:pPr>
        <w:pStyle w:val="Heading2"/>
      </w:pPr>
      <w:r>
        <w:t>Cum se folosește</w:t>
      </w:r>
    </w:p>
    <w:p>
      <w:pPr>
        <w:pStyle w:val="ListNumber"/>
        <w:keepNext/>
        <w:numPr>
          <w:ilvl w:val="0"/>
          <w:numId w:val="10"/>
        </w:numPr>
      </w:pPr>
      <w:r>
        <w:rPr>
          <w:rFonts w:ascii="Calibri" w:hAnsi="Calibri" w:eastAsia="Calibri"/>
        </w:rPr>
        <w:t>Completează datele pentru fiecare punct de lucru, nu doar la nivel de societate.</w:t>
      </w:r>
    </w:p>
    <w:p>
      <w:pPr>
        <w:pStyle w:val="ListNumber"/>
        <w:keepNext/>
        <w:numPr>
          <w:ilvl w:val="0"/>
          <w:numId w:val="10"/>
        </w:numPr>
      </w:pPr>
      <w:r>
        <w:rPr>
          <w:rFonts w:ascii="Calibri" w:hAnsi="Calibri" w:eastAsia="Calibri"/>
        </w:rPr>
        <w:t>Marchează C - conform, P - parțial, L - lipsă sau N/A - neaplicabil și notează dovada.</w:t>
      </w:r>
    </w:p>
    <w:p>
      <w:pPr>
        <w:pStyle w:val="ListNumber"/>
        <w:keepNext/>
        <w:numPr>
          <w:ilvl w:val="0"/>
          <w:numId w:val="10"/>
        </w:numPr>
      </w:pPr>
      <w:r>
        <w:rPr>
          <w:rFonts w:ascii="Calibri" w:hAnsi="Calibri" w:eastAsia="Calibri"/>
        </w:rPr>
        <w:t>Tratează imediat orice lipsă de act de reglementare, incident sau gestiune necontrolată a deșeurilor.</w:t>
      </w:r>
    </w:p>
    <w:p>
      <w:pPr>
        <w:pStyle w:val="ListNumber"/>
        <w:keepNext w:val="0"/>
        <w:numPr>
          <w:ilvl w:val="0"/>
          <w:numId w:val="10"/>
        </w:numPr>
      </w:pPr>
      <w:r>
        <w:rPr>
          <w:rFonts w:ascii="Calibri" w:hAnsi="Calibri" w:eastAsia="Calibri"/>
        </w:rPr>
        <w:t>Transformă rezultatele într-un plan cu responsabil, termen și dovadă de închidere.</w:t>
      </w:r>
    </w:p>
    <w:p>
      <w:pPr>
        <w:pStyle w:val="Heading1"/>
      </w:pPr>
      <w:r>
        <w:t>2. Date de identificare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9C3C0"/>
          <w:left w:val="single" w:sz="4" w:space="0" w:color="B9C3C0"/>
          <w:bottom w:val="single" w:sz="4" w:space="0" w:color="B9C3C0"/>
          <w:right w:val="single" w:sz="4" w:space="0" w:color="B9C3C0"/>
          <w:insideH w:val="single" w:sz="4" w:space="0" w:color="B9C3C0"/>
          <w:insideV w:val="single" w:sz="4" w:space="0" w:color="B9C3C0"/>
        </w:tblBorders>
      </w:tblPr>
      <w:tblGrid>
        <w:gridCol w:w="2100"/>
        <w:gridCol w:w="7260"/>
      </w:tblGrid>
      <w:tr>
        <w:trPr>
          <w:cantSplit/>
          <w:tblHeader w:val="true"/>
        </w:trPr>
        <w:tc>
          <w:tcPr>
            <w:tcW w:type="dxa" w:w="21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Câmp</w:t>
            </w:r>
          </w:p>
        </w:tc>
        <w:tc>
          <w:tcPr>
            <w:tcW w:type="dxa" w:w="726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Completare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  <w:t>Denumirea societății</w:t>
            </w:r>
          </w:p>
        </w:tc>
        <w:tc>
          <w:tcPr>
            <w:tcW w:type="dxa" w:w="72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  <w:t>[de completat]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  <w:t>CUI / sediu</w:t>
            </w:r>
          </w:p>
        </w:tc>
        <w:tc>
          <w:tcPr>
            <w:tcW w:type="dxa" w:w="72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  <w:t>[de completat]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  <w:t>Punctul de lucru verificat</w:t>
            </w:r>
          </w:p>
        </w:tc>
        <w:tc>
          <w:tcPr>
            <w:tcW w:type="dxa" w:w="72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  <w:t>[adresă și activități]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  <w:t>Coduri CAEN efectiv desfășurate</w:t>
            </w:r>
          </w:p>
        </w:tc>
        <w:tc>
          <w:tcPr>
            <w:tcW w:type="dxa" w:w="72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  <w:t>[de completat]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  <w:t>Persoana care completează</w:t>
            </w:r>
          </w:p>
        </w:tc>
        <w:tc>
          <w:tcPr>
            <w:tcW w:type="dxa" w:w="72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  <w:t>[nume, funcție, data]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  <w:t>Acte de reglementare cunoscute</w:t>
            </w:r>
          </w:p>
        </w:tc>
        <w:tc>
          <w:tcPr>
            <w:tcW w:type="dxa" w:w="72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  <w:t>[tip, număr, emitent, valabilitate]</w:t>
            </w:r>
          </w:p>
        </w:tc>
      </w:tr>
    </w:tbl>
    <w:p>
      <w:pPr>
        <w:spacing w:after="40"/>
      </w:pPr>
    </w:p>
    <w:p>
      <w:pPr>
        <w:pStyle w:val="Heading2"/>
      </w:pPr>
      <w:r>
        <w:t>3. Acte de reglementare și amplasament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9C3C0"/>
          <w:left w:val="single" w:sz="4" w:space="0" w:color="B9C3C0"/>
          <w:bottom w:val="single" w:sz="4" w:space="0" w:color="B9C3C0"/>
          <w:right w:val="single" w:sz="4" w:space="0" w:color="B9C3C0"/>
          <w:insideH w:val="single" w:sz="4" w:space="0" w:color="B9C3C0"/>
          <w:insideV w:val="single" w:sz="4" w:space="0" w:color="B9C3C0"/>
        </w:tblBorders>
      </w:tblPr>
      <w:tblGrid>
        <w:gridCol w:w="500"/>
        <w:gridCol w:w="3600"/>
        <w:gridCol w:w="3000"/>
        <w:gridCol w:w="1160"/>
        <w:gridCol w:w="1100"/>
      </w:tblGrid>
      <w:tr>
        <w:trPr>
          <w:cantSplit/>
          <w:tblHeader w:val="true"/>
        </w:trPr>
        <w:tc>
          <w:tcPr>
            <w:tcW w:type="dxa" w:w="5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Nr.</w:t>
            </w:r>
          </w:p>
        </w:tc>
        <w:tc>
          <w:tcPr>
            <w:tcW w:type="dxa" w:w="36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Verificare</w:t>
            </w:r>
          </w:p>
        </w:tc>
        <w:tc>
          <w:tcPr>
            <w:tcW w:type="dxa" w:w="30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Dovadă de urmărit</w:t>
            </w:r>
          </w:p>
        </w:tc>
        <w:tc>
          <w:tcPr>
            <w:tcW w:type="dxa" w:w="116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Status</w:t>
            </w:r>
          </w:p>
        </w:tc>
        <w:tc>
          <w:tcPr>
            <w:tcW w:type="dxa" w:w="11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Prioritate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1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Activitățile și capacitățile reale sunt comparate cu cele descrise în actele de reglementare.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autorizație/acord, memoriu, flux tehnologic, plan amplasament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2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Modificările de activitate, instalații, capacități sau titular au fost notificate și analizate înainte de implementare.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notificări, decizii ale autorității, revizii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3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Condițiile și termenele din autorizația de mediu sunt transpuse într-un calendar intern.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calendar, responsabil, dovezi periodice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4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Avizele/autorizațiile de gospodărire a apelor sunt valabile și corespund utilizărilor și evacuărilor reale.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acte, contracte, buletine, scheme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5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Planurile și evidențele amplasamentului corespund zonelor reale de stocare, emisiilor și utilităților.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plan actualizat, fotografii, registru instalații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</w:tbl>
    <w:p>
      <w:pPr>
        <w:spacing w:after="40"/>
      </w:pPr>
    </w:p>
    <w:p>
      <w:pPr>
        <w:pStyle w:val="Heading2"/>
      </w:pPr>
      <w:r>
        <w:t>4. Gestionarea deșeurilor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9C3C0"/>
          <w:left w:val="single" w:sz="4" w:space="0" w:color="B9C3C0"/>
          <w:bottom w:val="single" w:sz="4" w:space="0" w:color="B9C3C0"/>
          <w:right w:val="single" w:sz="4" w:space="0" w:color="B9C3C0"/>
          <w:insideH w:val="single" w:sz="4" w:space="0" w:color="B9C3C0"/>
          <w:insideV w:val="single" w:sz="4" w:space="0" w:color="B9C3C0"/>
        </w:tblBorders>
      </w:tblPr>
      <w:tblGrid>
        <w:gridCol w:w="500"/>
        <w:gridCol w:w="3600"/>
        <w:gridCol w:w="3000"/>
        <w:gridCol w:w="1160"/>
        <w:gridCol w:w="1100"/>
      </w:tblGrid>
      <w:tr>
        <w:trPr>
          <w:cantSplit/>
          <w:tblHeader w:val="true"/>
        </w:trPr>
        <w:tc>
          <w:tcPr>
            <w:tcW w:type="dxa" w:w="5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Nr.</w:t>
            </w:r>
          </w:p>
        </w:tc>
        <w:tc>
          <w:tcPr>
            <w:tcW w:type="dxa" w:w="36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Verificare</w:t>
            </w:r>
          </w:p>
        </w:tc>
        <w:tc>
          <w:tcPr>
            <w:tcW w:type="dxa" w:w="30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Dovadă de urmărit</w:t>
            </w:r>
          </w:p>
        </w:tc>
        <w:tc>
          <w:tcPr>
            <w:tcW w:type="dxa" w:w="116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Status</w:t>
            </w:r>
          </w:p>
        </w:tc>
        <w:tc>
          <w:tcPr>
            <w:tcW w:type="dxa" w:w="11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Prioritate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1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Sunt identificate toate punctele și procesele care generează deșeuri.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inventar pe proces și punct de generare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2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Încadrarea pe coduri este justificată prin sursă, compoziție și proprietăți; codurile cu asterisc sunt analizate distinct.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notă de codificare, fișe de securitate, analize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3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Colectarea separată este funcțională în teren, cu recipiente suficiente și etichetate.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inspecție, plan recipiente, instrucțiuni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4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Spațiile de stocare reduc riscurile pentru sănătate și mediu și previn amestecarea necontrolată.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fotografii, plan, verificări periodice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5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Operatorii și instalațiile de destinație sunt verificați pentru activitățile și codurile relevante.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autorizații, licențe, contracte, verificare valabilitate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6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Predările sunt susținute de documente complete și corelate cu cântărirea și evidența.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aviz, formular transport, tichet cântar, factură, certificat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7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Evidența cronologică lunară este completată pe cod, cantitate, origine, destinație, transport și tratare.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fișe/registru lunar și balanță stoc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8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Datele anuale sunt pregătite și raportate în sistemul aplicabil până la termen.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confirmări SIM/ANMAP și centralizator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9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Persoana responsabilă pentru gestionarea deșeurilor este desemnată, instruită când este cazul și primește datele necesare.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decizie/contract, instruire, circuit de date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</w:tbl>
    <w:p>
      <w:pPr>
        <w:spacing w:after="40"/>
      </w:pPr>
    </w:p>
    <w:p>
      <w:pPr>
        <w:spacing w:before="80" w:after="80"/>
      </w:pPr>
      <w:r>
        <w:rPr>
          <w:rFonts w:ascii="Calibri" w:hAnsi="Calibri" w:eastAsia="Calibri"/>
          <w:i/>
          <w:color w:val="66736E"/>
          <w:sz w:val="17"/>
        </w:rPr>
        <w:t>Repere principale: OUG nr. 92/2021, inclusiv art. 23 și art. 48; HG nr. 856/2002; HG nr. 1.061/2008, după caz.</w:t>
      </w:r>
    </w:p>
    <w:p>
      <w:pPr>
        <w:pStyle w:val="Heading2"/>
      </w:pPr>
      <w:r>
        <w:t>5. Raportări, Fondul pentru mediu și alte obligații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9C3C0"/>
          <w:left w:val="single" w:sz="4" w:space="0" w:color="B9C3C0"/>
          <w:bottom w:val="single" w:sz="4" w:space="0" w:color="B9C3C0"/>
          <w:right w:val="single" w:sz="4" w:space="0" w:color="B9C3C0"/>
          <w:insideH w:val="single" w:sz="4" w:space="0" w:color="B9C3C0"/>
          <w:insideV w:val="single" w:sz="4" w:space="0" w:color="B9C3C0"/>
        </w:tblBorders>
      </w:tblPr>
      <w:tblGrid>
        <w:gridCol w:w="500"/>
        <w:gridCol w:w="3600"/>
        <w:gridCol w:w="3000"/>
        <w:gridCol w:w="1160"/>
        <w:gridCol w:w="1100"/>
      </w:tblGrid>
      <w:tr>
        <w:trPr>
          <w:cantSplit/>
          <w:tblHeader w:val="true"/>
        </w:trPr>
        <w:tc>
          <w:tcPr>
            <w:tcW w:type="dxa" w:w="5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Nr.</w:t>
            </w:r>
          </w:p>
        </w:tc>
        <w:tc>
          <w:tcPr>
            <w:tcW w:type="dxa" w:w="36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Verificare</w:t>
            </w:r>
          </w:p>
        </w:tc>
        <w:tc>
          <w:tcPr>
            <w:tcW w:type="dxa" w:w="30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Dovadă de urmărit</w:t>
            </w:r>
          </w:p>
        </w:tc>
        <w:tc>
          <w:tcPr>
            <w:tcW w:type="dxa" w:w="116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Status</w:t>
            </w:r>
          </w:p>
        </w:tc>
        <w:tc>
          <w:tcPr>
            <w:tcW w:type="dxa" w:w="11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Prioritate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1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A fost analizată calitatea de contribuabil la Fondul pentru mediu pentru fiecare flux relevant.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analiză produse/ambalaje/activități și baze de calcul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2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Datele comerciale, logistice și de mediu sunt reconciliate înainte de declarații.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fișier de reconciliere, surse și aprobări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3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Contul și raportările din Sistemul Integrat de Mediu sunt active și au responsabili și termene.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cont, module aplicabile, confirmări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4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Monitorizările pentru apă, aer, zgomot, sol sau emisii sunt realizate conform condițiilor aplicabile.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buletine, rapoarte, contracte laborator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5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Substanțele periculoase și situațiile de urgență de mediu au inventar, reguli de stocare și răspuns.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SDS, plan de intervenție, instruiri, kituri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</w:tbl>
    <w:p>
      <w:pPr>
        <w:spacing w:after="40"/>
      </w:pPr>
    </w:p>
    <w:p>
      <w:pPr>
        <w:pStyle w:val="Heading2"/>
      </w:pPr>
      <w:r>
        <w:t>6. Organizare, control și îmbunătățire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9C3C0"/>
          <w:left w:val="single" w:sz="4" w:space="0" w:color="B9C3C0"/>
          <w:bottom w:val="single" w:sz="4" w:space="0" w:color="B9C3C0"/>
          <w:right w:val="single" w:sz="4" w:space="0" w:color="B9C3C0"/>
          <w:insideH w:val="single" w:sz="4" w:space="0" w:color="B9C3C0"/>
          <w:insideV w:val="single" w:sz="4" w:space="0" w:color="B9C3C0"/>
        </w:tblBorders>
      </w:tblPr>
      <w:tblGrid>
        <w:gridCol w:w="500"/>
        <w:gridCol w:w="3600"/>
        <w:gridCol w:w="3000"/>
        <w:gridCol w:w="1160"/>
        <w:gridCol w:w="1100"/>
      </w:tblGrid>
      <w:tr>
        <w:trPr>
          <w:cantSplit/>
          <w:tblHeader w:val="true"/>
        </w:trPr>
        <w:tc>
          <w:tcPr>
            <w:tcW w:type="dxa" w:w="5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Nr.</w:t>
            </w:r>
          </w:p>
        </w:tc>
        <w:tc>
          <w:tcPr>
            <w:tcW w:type="dxa" w:w="36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Verificare</w:t>
            </w:r>
          </w:p>
        </w:tc>
        <w:tc>
          <w:tcPr>
            <w:tcW w:type="dxa" w:w="30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Dovadă de urmărit</w:t>
            </w:r>
          </w:p>
        </w:tc>
        <w:tc>
          <w:tcPr>
            <w:tcW w:type="dxa" w:w="116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Status</w:t>
            </w:r>
          </w:p>
        </w:tc>
        <w:tc>
          <w:tcPr>
            <w:tcW w:type="dxa" w:w="11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Prioritate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1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Există un calendar unic al obligațiilor, cu înlocuitor și escaladare pentru termene critice.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calendar și reguli de notificare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2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Personalul relevant este instruit și instruirea este verificată practic.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tematică, prezență, test/verificare în teren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3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Documentele de mediu au versiune, proprietar, locație și perioadă de păstrare.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registru documente și arhivă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4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Controalele și auditurile anterioare au măsuri închise prin dovezi, nu doar declarativ.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registru măsuri și documente de închidere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5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Managementul primește periodic situația riscurilor, incidentelor, costurilor și progresului.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raport sintetic și decizii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</w:tbl>
    <w:p>
      <w:pPr>
        <w:spacing w:after="40"/>
      </w:pPr>
    </w:p>
    <w:p>
      <w:pPr>
        <w:pStyle w:val="Heading1"/>
      </w:pPr>
      <w:r>
        <w:t>7. Plan rapid de acțiune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9C3C0"/>
          <w:left w:val="single" w:sz="4" w:space="0" w:color="B9C3C0"/>
          <w:bottom w:val="single" w:sz="4" w:space="0" w:color="B9C3C0"/>
          <w:right w:val="single" w:sz="4" w:space="0" w:color="B9C3C0"/>
          <w:insideH w:val="single" w:sz="4" w:space="0" w:color="B9C3C0"/>
          <w:insideV w:val="single" w:sz="4" w:space="0" w:color="B9C3C0"/>
        </w:tblBorders>
      </w:tblPr>
      <w:tblGrid>
        <w:gridCol w:w="500"/>
        <w:gridCol w:w="1900"/>
        <w:gridCol w:w="2500"/>
        <w:gridCol w:w="1400"/>
        <w:gridCol w:w="1100"/>
        <w:gridCol w:w="1960"/>
      </w:tblGrid>
      <w:tr>
        <w:trPr>
          <w:cantSplit/>
          <w:tblHeader w:val="true"/>
        </w:trPr>
        <w:tc>
          <w:tcPr>
            <w:tcW w:type="dxa" w:w="5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Nr.</w:t>
            </w:r>
          </w:p>
        </w:tc>
        <w:tc>
          <w:tcPr>
            <w:tcW w:type="dxa" w:w="19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Problemă / risc</w:t>
            </w:r>
          </w:p>
        </w:tc>
        <w:tc>
          <w:tcPr>
            <w:tcW w:type="dxa" w:w="25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Acțiune</w:t>
            </w:r>
          </w:p>
        </w:tc>
        <w:tc>
          <w:tcPr>
            <w:tcW w:type="dxa" w:w="14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Responsabil</w:t>
            </w:r>
          </w:p>
        </w:tc>
        <w:tc>
          <w:tcPr>
            <w:tcW w:type="dxa" w:w="11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Termen</w:t>
            </w:r>
          </w:p>
        </w:tc>
        <w:tc>
          <w:tcPr>
            <w:tcW w:type="dxa" w:w="196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Dovadă de închidere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1</w:t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1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2</w:t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1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3</w:t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1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4</w:t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1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5</w:t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1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</w:tr>
    </w:tbl>
    <w:p>
      <w:pPr>
        <w:spacing w:after="40"/>
      </w:pPr>
    </w:p>
    <w:p>
      <w:pPr>
        <w:keepLines/>
        <w:spacing w:before="80" w:after="120" w:line="288" w:lineRule="auto"/>
        <w:ind w:left="173" w:right="173"/>
        <w:shd w:fill="F4E8E8"/>
        <w:pBdr>
          <w:top w:val="single" w:sz="4" w:space="8" w:color="F4E8E8"/>
          <w:left w:val="single" w:sz="4" w:space="8" w:color="F4E8E8"/>
          <w:bottom w:val="single" w:sz="4" w:space="8" w:color="F4E8E8"/>
          <w:right w:val="single" w:sz="4" w:space="8" w:color="F4E8E8"/>
        </w:pBdr>
      </w:pPr>
      <w:r>
        <w:rPr>
          <w:rFonts w:ascii="Calibri" w:hAnsi="Calibri" w:eastAsia="Calibri"/>
          <w:b/>
          <w:color w:val="9B1C1C"/>
          <w:sz w:val="17"/>
        </w:rPr>
        <w:t>PRIORITATE IMEDIATĂ</w:t>
        <w:br/>
      </w:r>
      <w:r>
        <w:rPr>
          <w:rFonts w:ascii="Calibri" w:hAnsi="Calibri" w:eastAsia="Calibri"/>
          <w:color w:val="092F29"/>
          <w:sz w:val="21"/>
        </w:rPr>
        <w:t>Lipsa sau necorelarea unui act de reglementare, gestiunea ori transportul necontrolat al deșeurilor, evacuările neconforme și măsurile de control restante nu se tratează ca simple lipsuri administrative.</w:t>
      </w:r>
    </w:p>
    <w:p>
      <w:pPr>
        <w:spacing w:after="20"/>
      </w:pPr>
    </w:p>
    <w:p>
      <w:pPr>
        <w:pStyle w:val="Heading1"/>
      </w:pPr>
      <w:r>
        <w:t>Surse oficiale consultate</w:t>
      </w:r>
    </w:p>
    <w:p>
      <w:pPr>
        <w:keepLines w:val="0"/>
      </w:pPr>
      <w:r>
        <w:rPr>
          <w:rFonts w:ascii="Calibri" w:hAnsi="Calibri" w:eastAsia="Calibri"/>
          <w:i w:val="0"/>
        </w:rPr>
        <w:t>Verificare editorială: 25 august 2026. Pentru utilizare externă se consultă forma consolidată disponibilă la data folosirii documentului.</w:t>
      </w:r>
    </w:p>
    <w:p>
      <w:pPr>
        <w:pStyle w:val="ListBullet"/>
      </w:pPr>
      <w:hyperlink r:id="rId13">
        <w:r>
          <w:rPr>
            <w:rFonts w:ascii="Calibri" w:hAnsi="Calibri"/>
            <w:color w:val="092F29"/>
            <w:u w:val="single"/>
          </w:rPr>
          <w:t>OUG nr. 195/2005 privind protecția mediului - forma consolidată</w:t>
        </w:r>
      </w:hyperlink>
    </w:p>
    <w:p>
      <w:pPr>
        <w:pStyle w:val="ListBullet"/>
      </w:pPr>
      <w:hyperlink r:id="rId14">
        <w:r>
          <w:rPr>
            <w:rFonts w:ascii="Calibri" w:hAnsi="Calibri"/>
            <w:color w:val="092F29"/>
            <w:u w:val="single"/>
          </w:rPr>
          <w:t>OUG nr. 92/2021 privind regimul deșeurilor - forma consolidată</w:t>
        </w:r>
      </w:hyperlink>
    </w:p>
    <w:p>
      <w:pPr>
        <w:pStyle w:val="ListBullet"/>
      </w:pPr>
      <w:hyperlink r:id="rId15">
        <w:r>
          <w:rPr>
            <w:rFonts w:ascii="Calibri" w:hAnsi="Calibri"/>
            <w:color w:val="092F29"/>
            <w:u w:val="single"/>
          </w:rPr>
          <w:t>HG nr. 856/2002 privind evidența gestiunii deșeurilor și lista deșeurilor</w:t>
        </w:r>
      </w:hyperlink>
    </w:p>
    <w:p>
      <w:pPr>
        <w:pStyle w:val="ListBullet"/>
      </w:pPr>
      <w:hyperlink r:id="rId16">
        <w:r>
          <w:rPr>
            <w:rFonts w:ascii="Calibri" w:hAnsi="Calibri"/>
            <w:color w:val="092F29"/>
            <w:u w:val="single"/>
          </w:rPr>
          <w:t>HG nr. 1.061/2008 privind transportul deșeurilor</w:t>
        </w:r>
      </w:hyperlink>
    </w:p>
    <w:p>
      <w:pPr>
        <w:pStyle w:val="ListBullet"/>
      </w:pPr>
      <w:hyperlink r:id="rId17">
        <w:r>
          <w:rPr>
            <w:rFonts w:ascii="Calibri" w:hAnsi="Calibri"/>
            <w:color w:val="092F29"/>
            <w:u w:val="single"/>
          </w:rPr>
          <w:t>OUG nr. 196/2005 privind Fondul pentru mediu</w:t>
        </w:r>
      </w:hyperlink>
    </w:p>
    <w:p>
      <w:pPr>
        <w:pStyle w:val="ListBullet"/>
      </w:pPr>
      <w:hyperlink r:id="rId18">
        <w:r>
          <w:rPr>
            <w:rFonts w:ascii="Calibri" w:hAnsi="Calibri"/>
            <w:color w:val="092F29"/>
            <w:u w:val="single"/>
          </w:rPr>
          <w:t>Administrația Fondului pentru Mediu - declarații și informații pentru contribuabili</w:t>
        </w:r>
      </w:hyperlink>
    </w:p>
    <w:p>
      <w:pPr>
        <w:pStyle w:val="ListBullet"/>
      </w:pPr>
      <w:hyperlink r:id="rId19">
        <w:r>
          <w:rPr>
            <w:rFonts w:ascii="Calibri" w:hAnsi="Calibri"/>
            <w:color w:val="092F29"/>
            <w:u w:val="single"/>
          </w:rPr>
          <w:t>Sistemul Integrat de Mediu - acces și raportare</w:t>
        </w:r>
      </w:hyperlink>
    </w:p>
    <w:p>
      <w:pPr>
        <w:pStyle w:val="ListBullet"/>
      </w:pPr>
      <w:hyperlink r:id="rId20">
        <w:r>
          <w:rPr>
            <w:rFonts w:ascii="Calibri" w:hAnsi="Calibri"/>
            <w:color w:val="092F29"/>
            <w:u w:val="single"/>
          </w:rPr>
          <w:t>Garda Națională de Mediu - comunicat privind neconformitățile constatate în controalele din august 2026</w:t>
        </w:r>
      </w:hyperlink>
    </w:p>
    <w:p>
      <w:pPr>
        <w:keepLines/>
        <w:spacing w:before="80" w:after="120" w:line="288" w:lineRule="auto"/>
        <w:ind w:left="173" w:right="173"/>
        <w:shd w:fill="F3F0E7"/>
        <w:pBdr>
          <w:top w:val="single" w:sz="4" w:space="8" w:color="F3F0E7"/>
          <w:left w:val="single" w:sz="4" w:space="8" w:color="F3F0E7"/>
          <w:bottom w:val="single" w:sz="4" w:space="8" w:color="F3F0E7"/>
          <w:right w:val="single" w:sz="4" w:space="8" w:color="F3F0E7"/>
        </w:pBdr>
      </w:pPr>
      <w:r>
        <w:rPr>
          <w:rFonts w:ascii="Calibri" w:hAnsi="Calibri" w:eastAsia="Calibri"/>
          <w:b/>
          <w:color w:val="092F29"/>
          <w:sz w:val="17"/>
        </w:rPr>
        <w:t>NOTĂ DE APLICABILITATE</w:t>
        <w:br/>
      </w:r>
      <w:r>
        <w:rPr>
          <w:rFonts w:ascii="Calibri" w:hAnsi="Calibri" w:eastAsia="Calibri"/>
          <w:color w:val="092F29"/>
          <w:sz w:val="21"/>
        </w:rPr>
        <w:t>Obligațiile exacte depind de activitate, amplasament, autorizații, produse, instalații și fluxuri. O bifă nu înlocuiește verificarea documentelor și a situației din teren.</w:t>
      </w:r>
    </w:p>
    <w:p>
      <w:pPr>
        <w:spacing w:after="20"/>
      </w:pPr>
    </w:p>
    <w:p>
      <w:pPr>
        <w:pStyle w:val="Heading1"/>
        <w:spacing w:before="160" w:after="100"/>
      </w:pPr>
      <w:r>
        <w:t>Ai nevoie de varianta personalizată?</w:t>
      </w:r>
    </w:p>
    <w:p>
      <w:pPr>
        <w:keepLines/>
        <w:spacing w:before="80" w:after="0" w:line="288" w:lineRule="auto"/>
        <w:ind w:left="173" w:right="173"/>
        <w:shd w:fill="D5F33C"/>
        <w:pBdr>
          <w:top w:val="single" w:sz="4" w:space="8" w:color="D5F33C"/>
          <w:left w:val="single" w:sz="4" w:space="8" w:color="D5F33C"/>
          <w:bottom w:val="single" w:sz="4" w:space="8" w:color="D5F33C"/>
          <w:right w:val="single" w:sz="4" w:space="8" w:color="D5F33C"/>
        </w:pBdr>
      </w:pPr>
      <w:r>
        <w:rPr>
          <w:rFonts w:ascii="Calibri" w:hAnsi="Calibri" w:eastAsia="Calibri"/>
          <w:b/>
          <w:color w:val="092F29"/>
          <w:sz w:val="17"/>
        </w:rPr>
        <w:t>MEDIU LA PUNCT</w:t>
        <w:br/>
      </w:r>
      <w:r>
        <w:rPr>
          <w:rFonts w:ascii="Calibri" w:hAnsi="Calibri" w:eastAsia="Calibri"/>
          <w:color w:val="092F29"/>
          <w:sz w:val="21"/>
        </w:rPr>
        <w:t>Realizăm diagnosticul pe activitate și punct de lucru, matricea de obligații, registrul de neconformități și planul de măsuri cu termene și dovezi. Detalii și servicii: mediulapunct.ro.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360" w:val="right"/>
      </w:tabs>
      <w:spacing w:before="80"/>
      <w:pBdr>
        <w:bottom w:val="single" w:sz="4" w:space="4" w:color="B9C3C0"/>
      </w:pBdr>
    </w:pPr>
    <w:r>
      <w:rPr>
        <w:rFonts w:ascii="Calibri" w:hAnsi="Calibri" w:eastAsia="Calibri"/>
        <w:color w:val="66736E"/>
        <w:sz w:val="16"/>
      </w:rPr>
      <w:t>Mediu la Punct | mediulapunct.ro | Model orientativ</w:t>
    </w:r>
    <w:r>
      <w:tab/>
    </w:r>
    <w:r>
      <w:rPr>
        <w:rFonts w:ascii="Calibri" w:hAnsi="Calibri" w:eastAsia="Calibri"/>
        <w:color w:val="66736E"/>
        <w:sz w:val="16"/>
      </w:rPr>
      <w:t xml:space="preserve">Pagina </w:t>
    </w:r>
    <w:r>
      <w:rPr>
        <w:rFonts w:ascii="Calibri" w:hAnsi="Calibri" w:eastAsia="Calibri"/>
        <w:color w:val="66736E"/>
        <w:sz w:val="16"/>
      </w:rPr>
      <w:fldChar w:fldCharType="begin"/>
      <w:instrText xml:space="preserve">PAGE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360" w:val="right"/>
      </w:tabs>
      <w:spacing w:before="80"/>
      <w:pBdr>
        <w:bottom w:val="single" w:sz="4" w:space="4" w:color="B9C3C0"/>
      </w:pBdr>
    </w:pPr>
    <w:r>
      <w:rPr>
        <w:rFonts w:ascii="Calibri" w:hAnsi="Calibri" w:eastAsia="Calibri"/>
        <w:color w:val="66736E"/>
        <w:sz w:val="16"/>
      </w:rPr>
      <w:t>Mediu la Punct | mediulapunct.ro | Model orientativ</w:t>
    </w:r>
    <w:r>
      <w:tab/>
    </w:r>
    <w:r>
      <w:rPr>
        <w:rFonts w:ascii="Calibri" w:hAnsi="Calibri" w:eastAsia="Calibri"/>
        <w:color w:val="66736E"/>
        <w:sz w:val="16"/>
      </w:rPr>
      <w:t xml:space="preserve">Pagina </w:t>
    </w:r>
    <w:r>
      <w:rPr>
        <w:rFonts w:ascii="Calibri" w:hAnsi="Calibri" w:eastAsia="Calibri"/>
        <w:color w:val="66736E"/>
        <w:sz w:val="16"/>
      </w:rPr>
      <w:fldChar w:fldCharType="begin"/>
      <w:instrText xml:space="preserve">PAGE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right"/>
      </w:tabs>
      <w:spacing w:after="60"/>
      <w:pBdr>
        <w:bottom w:val="single" w:sz="4" w:space="4" w:color="B9C3C0"/>
      </w:pBdr>
    </w:pPr>
    <w:r>
      <w:drawing>
        <wp:inline xmlns:a="http://schemas.openxmlformats.org/drawingml/2006/main" xmlns:pic="http://schemas.openxmlformats.org/drawingml/2006/picture">
          <wp:extent cx="1874519" cy="345233"/>
          <wp:docPr id="1" name="Picture 1" descr="Sigla Mediu la Punct" title="Mediu la Punct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-mediu-la-punc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4519" cy="345233"/>
                  </a:xfrm>
                  <a:prstGeom prst="rect"/>
                </pic:spPr>
              </pic:pic>
            </a:graphicData>
          </a:graphic>
        </wp:inline>
      </w:drawing>
    </w:r>
    <w:r>
      <w:tab/>
    </w:r>
    <w:r>
      <w:rPr>
        <w:rFonts w:ascii="Calibri" w:hAnsi="Calibri" w:eastAsia="Calibri"/>
        <w:b/>
        <w:color w:val="66736E"/>
        <w:sz w:val="16"/>
      </w:rPr>
      <w:t>INSTRUMENT PRACTIC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right"/>
      </w:tabs>
      <w:spacing w:after="60"/>
      <w:pBdr>
        <w:bottom w:val="single" w:sz="4" w:space="4" w:color="B9C3C0"/>
      </w:pBdr>
    </w:pPr>
    <w:r>
      <w:drawing>
        <wp:inline xmlns:a="http://schemas.openxmlformats.org/drawingml/2006/main" xmlns:pic="http://schemas.openxmlformats.org/drawingml/2006/picture">
          <wp:extent cx="1874519" cy="345233"/>
          <wp:docPr id="1" name="Picture 1" descr="Sigla Mediu la Punct" title="Mediu la Punct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-mediu-la-punc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4519" cy="345233"/>
                  </a:xfrm>
                  <a:prstGeom prst="rect"/>
                </pic:spPr>
              </pic:pic>
            </a:graphicData>
          </a:graphic>
        </wp:inline>
      </w:drawing>
    </w:r>
    <w:r>
      <w:tab/>
    </w:r>
    <w:r>
      <w:rPr>
        <w:rFonts w:ascii="Calibri" w:hAnsi="Calibri" w:eastAsia="Calibri"/>
        <w:b/>
        <w:color w:val="66736E"/>
        <w:sz w:val="16"/>
      </w:rPr>
      <w:t>INSTRUMENT PRACTIC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092F29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092F29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092F2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66736E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legislatie.just.ro/Public/DetaliiDocument/67634" TargetMode="External"/><Relationship Id="rId14" Type="http://schemas.openxmlformats.org/officeDocument/2006/relationships/hyperlink" Target="https://legislatie.just.ro/Public/DetaliiDocument/245846" TargetMode="External"/><Relationship Id="rId15" Type="http://schemas.openxmlformats.org/officeDocument/2006/relationships/hyperlink" Target="https://legislatie.just.ro/Public/DetaliiDocument/38294" TargetMode="External"/><Relationship Id="rId16" Type="http://schemas.openxmlformats.org/officeDocument/2006/relationships/hyperlink" Target="https://legislatie.just.ro/Public/DetaliiDocument/97706" TargetMode="External"/><Relationship Id="rId17" Type="http://schemas.openxmlformats.org/officeDocument/2006/relationships/hyperlink" Target="https://legislatie.just.ro/Public/DetaliiDocument/67529" TargetMode="External"/><Relationship Id="rId18" Type="http://schemas.openxmlformats.org/officeDocument/2006/relationships/hyperlink" Target="https://www.afm.ro/taxe_declaratii.php" TargetMode="External"/><Relationship Id="rId19" Type="http://schemas.openxmlformats.org/officeDocument/2006/relationships/hyperlink" Target="https://raportare.anpm.ro/" TargetMode="External"/><Relationship Id="rId20" Type="http://schemas.openxmlformats.org/officeDocument/2006/relationships/hyperlink" Target="https://www.gnm.ro/433-milioane-de-lei-in-amenzi-si-24-de-activitati-suspendate-in-7-zile-de-verificari-ale-garzii-nationale-de-mediu-pe-litoral/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de conformare de mediu pentru firme</dc:title>
  <dc:subject>Instrument practic orientativ de conformare de mediu</dc:subject>
  <dc:creator>Mediu la Punct</dc:creator>
  <cp:keywords>mediu, deșeuri, conformare, model orientativ</cp:keywords>
  <dc:description>Actualizat la 25 august 2026.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