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40" w:after="160"/>
      </w:pPr>
      <w:r>
        <w:rPr>
          <w:rFonts w:ascii="Calibri" w:hAnsi="Calibri" w:eastAsia="Calibri"/>
          <w:b/>
          <w:caps/>
          <w:color w:val="66736E"/>
          <w:sz w:val="18"/>
        </w:rPr>
        <w:t>MODEL OPERAȚIONAL</w:t>
      </w:r>
    </w:p>
    <w:p>
      <w:pPr>
        <w:keepNext/>
        <w:spacing w:before="0" w:after="200"/>
      </w:pPr>
      <w:r>
        <w:rPr>
          <w:rFonts w:ascii="Calibri" w:hAnsi="Calibri" w:eastAsia="Calibri"/>
          <w:b/>
          <w:color w:val="092F29"/>
          <w:sz w:val="56"/>
        </w:rPr>
        <w:t>Procedură-cadru de gestionare a deșeurilor</w:t>
      </w:r>
    </w:p>
    <w:p>
      <w:pPr>
        <w:spacing w:before="0" w:after="360" w:line="288" w:lineRule="auto"/>
      </w:pPr>
      <w:r>
        <w:rPr>
          <w:rFonts w:ascii="Calibri" w:hAnsi="Calibri" w:eastAsia="Calibri"/>
          <w:color w:val="66736E"/>
          <w:sz w:val="25"/>
        </w:rPr>
        <w:t>Circuit intern orientativ pentru identificarea, colectarea, stocarea, predarea, evidența și controlul deșeurilor.</w:t>
      </w:r>
    </w:p>
    <w:tbl>
      <w:tblPr>
        <w:tblW w:type="dxa" w:w="9360"/>
        <w:jc w:val="left"/>
        <w:tblLayout w:type="fixed"/>
        <w:tblLook w:firstColumn="1" w:firstRow="1" w:lastColumn="0" w:lastRow="0" w:noHBand="0" w:noVBand="1" w:val="04A0"/>
        <w:tblInd w:w="120" w:type="dxa"/>
        <w:tblBorders>
          <w:top w:val="single" w:sz="4" w:space="0" w:color="B9C3C0"/>
          <w:left w:val="single" w:sz="4" w:space="0" w:color="B9C3C0"/>
          <w:bottom w:val="single" w:sz="4" w:space="0" w:color="B9C3C0"/>
          <w:right w:val="single" w:sz="4" w:space="0" w:color="B9C3C0"/>
          <w:insideH w:val="single" w:sz="4" w:space="0" w:color="B9C3C0"/>
          <w:insideV w:val="single" w:sz="4" w:space="0" w:color="B9C3C0"/>
        </w:tblBorders>
      </w:tblPr>
      <w:tblGrid>
        <w:gridCol w:w="1800"/>
        <w:gridCol w:w="7560"/>
      </w:tblGrid>
      <w:tr>
        <w:trPr>
          <w:cantSplit/>
          <w:tblHeader w:val="true"/>
        </w:trPr>
        <w:tc>
          <w:tcPr>
            <w:tcW w:type="dxa" w:w="1800"/>
            <w:shd w:fill="D5F33C"/>
            <w:vAlign w:val="center"/>
            <w:tcMar>
              <w:top w:w="80" w:type="dxa"/>
              <w:start w:w="120" w:type="dxa"/>
              <w:bottom w:w="80" w:type="dxa"/>
              <w:end w:w="120" w:type="dxa"/>
            </w:tcMar>
          </w:tcPr>
          <w:p>
            <w:pPr>
              <w:spacing w:before="0" w:after="0" w:line="259" w:lineRule="auto"/>
            </w:pPr>
            <w:r/>
            <w:r>
              <w:rPr>
                <w:rFonts w:ascii="Calibri" w:hAnsi="Calibri" w:eastAsia="Calibri"/>
                <w:b/>
                <w:color w:val="092F29"/>
                <w:sz w:val="18"/>
              </w:rPr>
              <w:t>Câmp</w:t>
            </w:r>
          </w:p>
        </w:tc>
        <w:tc>
          <w:tcPr>
            <w:tcW w:type="dxa" w:w="7560"/>
            <w:shd w:fill="D5F33C"/>
            <w:vAlign w:val="center"/>
            <w:tcMar>
              <w:top w:w="80" w:type="dxa"/>
              <w:start w:w="120" w:type="dxa"/>
              <w:bottom w:w="80" w:type="dxa"/>
              <w:end w:w="120" w:type="dxa"/>
            </w:tcMar>
          </w:tcPr>
          <w:p>
            <w:pPr>
              <w:spacing w:before="0" w:after="0" w:line="259" w:lineRule="auto"/>
            </w:pPr>
            <w:r/>
            <w:r>
              <w:rPr>
                <w:rFonts w:ascii="Calibri" w:hAnsi="Calibri" w:eastAsia="Calibri"/>
                <w:b/>
                <w:color w:val="092F29"/>
                <w:sz w:val="18"/>
              </w:rPr>
              <w:t>Informație</w:t>
            </w:r>
          </w:p>
        </w:tc>
      </w:tr>
      <w:tr>
        <w:trPr>
          <w:cantSplit/>
        </w:trPr>
        <w:tc>
          <w:tcPr>
            <w:tcW w:type="dxa" w:w="1800"/>
            <w:shd w:fill="E7EDEB"/>
            <w:vAlign w:val="center"/>
            <w:tcMar>
              <w:top w:w="80" w:type="dxa"/>
              <w:start w:w="120" w:type="dxa"/>
              <w:bottom w:w="80" w:type="dxa"/>
              <w:end w:w="120" w:type="dxa"/>
            </w:tcMar>
          </w:tcPr>
          <w:p>
            <w:pPr>
              <w:spacing w:before="0" w:after="0" w:line="259" w:lineRule="auto"/>
            </w:pPr>
            <w:r/>
            <w:r>
              <w:rPr>
                <w:rFonts w:ascii="Calibri" w:hAnsi="Calibri" w:eastAsia="Calibri"/>
                <w:b/>
                <w:color w:val="092F29"/>
                <w:sz w:val="18"/>
              </w:rPr>
              <w:t>Destinat</w:t>
            </w:r>
          </w:p>
        </w:tc>
        <w:tc>
          <w:tcPr>
            <w:tcW w:type="dxa" w:w="756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8"/>
              </w:rPr>
              <w:t>Firme și instituții</w:t>
            </w:r>
          </w:p>
        </w:tc>
      </w:tr>
      <w:tr>
        <w:trPr>
          <w:cantSplit/>
        </w:trPr>
        <w:tc>
          <w:tcPr>
            <w:tcW w:type="dxa" w:w="1800"/>
            <w:shd w:fill="E7EDEB"/>
            <w:vAlign w:val="center"/>
            <w:tcMar>
              <w:top w:w="80" w:type="dxa"/>
              <w:start w:w="120" w:type="dxa"/>
              <w:bottom w:w="80" w:type="dxa"/>
              <w:end w:w="120" w:type="dxa"/>
            </w:tcMar>
          </w:tcPr>
          <w:p>
            <w:pPr>
              <w:spacing w:before="0" w:after="0" w:line="259" w:lineRule="auto"/>
            </w:pPr>
            <w:r/>
            <w:r>
              <w:rPr>
                <w:rFonts w:ascii="Calibri" w:hAnsi="Calibri" w:eastAsia="Calibri"/>
                <w:b/>
                <w:color w:val="092F29"/>
                <w:sz w:val="18"/>
              </w:rPr>
              <w:t>Format</w:t>
            </w:r>
          </w:p>
        </w:tc>
        <w:tc>
          <w:tcPr>
            <w:tcW w:type="dxa" w:w="756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8"/>
              </w:rPr>
              <w:t>Model editabil Word și versiune PDF pentru consultare/print</w:t>
            </w:r>
          </w:p>
        </w:tc>
      </w:tr>
      <w:tr>
        <w:trPr>
          <w:cantSplit/>
        </w:trPr>
        <w:tc>
          <w:tcPr>
            <w:tcW w:type="dxa" w:w="1800"/>
            <w:shd w:fill="E7EDEB"/>
            <w:vAlign w:val="center"/>
            <w:tcMar>
              <w:top w:w="80" w:type="dxa"/>
              <w:start w:w="120" w:type="dxa"/>
              <w:bottom w:w="80" w:type="dxa"/>
              <w:end w:w="120" w:type="dxa"/>
            </w:tcMar>
          </w:tcPr>
          <w:p>
            <w:pPr>
              <w:spacing w:before="0" w:after="0" w:line="259" w:lineRule="auto"/>
            </w:pPr>
            <w:r/>
            <w:r>
              <w:rPr>
                <w:rFonts w:ascii="Calibri" w:hAnsi="Calibri" w:eastAsia="Calibri"/>
                <w:b/>
                <w:color w:val="092F29"/>
                <w:sz w:val="18"/>
              </w:rPr>
              <w:t>Actualizare</w:t>
            </w:r>
          </w:p>
        </w:tc>
        <w:tc>
          <w:tcPr>
            <w:tcW w:type="dxa" w:w="756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8"/>
              </w:rPr>
              <w:t>25 august 2026</w:t>
            </w:r>
          </w:p>
        </w:tc>
      </w:tr>
      <w:tr>
        <w:trPr>
          <w:cantSplit/>
        </w:trPr>
        <w:tc>
          <w:tcPr>
            <w:tcW w:type="dxa" w:w="1800"/>
            <w:shd w:fill="E7EDEB"/>
            <w:vAlign w:val="center"/>
            <w:tcMar>
              <w:top w:w="80" w:type="dxa"/>
              <w:start w:w="120" w:type="dxa"/>
              <w:bottom w:w="80" w:type="dxa"/>
              <w:end w:w="120" w:type="dxa"/>
            </w:tcMar>
          </w:tcPr>
          <w:p>
            <w:pPr>
              <w:spacing w:before="0" w:after="0" w:line="259" w:lineRule="auto"/>
            </w:pPr>
            <w:r/>
            <w:r>
              <w:rPr>
                <w:rFonts w:ascii="Calibri" w:hAnsi="Calibri" w:eastAsia="Calibri"/>
                <w:b/>
                <w:color w:val="092F29"/>
                <w:sz w:val="18"/>
              </w:rPr>
              <w:t>Statut</w:t>
            </w:r>
          </w:p>
        </w:tc>
        <w:tc>
          <w:tcPr>
            <w:tcW w:type="dxa" w:w="756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8"/>
              </w:rPr>
              <w:t>Instrument orientativ. Necesită verificare și adaptare înainte de utilizare externă.</w:t>
            </w:r>
          </w:p>
        </w:tc>
      </w:tr>
    </w:tbl>
    <w:p>
      <w:pPr>
        <w:spacing w:after="40"/>
      </w:pPr>
    </w:p>
    <w:p>
      <w:pPr>
        <w:pStyle w:val="Heading1"/>
      </w:pPr>
      <w:r>
        <w:t>1. Scopul și utilizarea documentului</w:t>
      </w:r>
    </w:p>
    <w:p>
      <w:pPr>
        <w:keepLines/>
        <w:spacing w:before="80" w:after="120" w:line="288" w:lineRule="auto"/>
        <w:ind w:left="173" w:right="173"/>
        <w:shd w:fill="E7EDEB"/>
        <w:pBdr>
          <w:top w:val="single" w:sz="4" w:space="8" w:color="E7EDEB"/>
          <w:left w:val="single" w:sz="4" w:space="8" w:color="E7EDEB"/>
          <w:bottom w:val="single" w:sz="4" w:space="8" w:color="E7EDEB"/>
          <w:right w:val="single" w:sz="4" w:space="8" w:color="E7EDEB"/>
        </w:pBdr>
      </w:pPr>
      <w:r>
        <w:rPr>
          <w:rFonts w:ascii="Calibri" w:hAnsi="Calibri" w:eastAsia="Calibri"/>
          <w:b/>
          <w:color w:val="092F29"/>
          <w:sz w:val="17"/>
        </w:rPr>
        <w:t>SCOP</w:t>
        <w:br/>
      </w:r>
      <w:r>
        <w:rPr>
          <w:rFonts w:ascii="Calibri" w:hAnsi="Calibri" w:eastAsia="Calibri"/>
          <w:color w:val="092F29"/>
          <w:sz w:val="21"/>
        </w:rPr>
        <w:t>Procedura stabilește un flux intern minim și responsabilități de bază. Se adaptează obligatoriu la procese, coduri de deșeuri, amplasament, actele de reglementare și contractele organizației.</w:t>
      </w:r>
    </w:p>
    <w:p>
      <w:pPr>
        <w:spacing w:after="20"/>
      </w:pPr>
    </w:p>
    <w:p>
      <w:pPr>
        <w:pStyle w:val="Heading2"/>
      </w:pPr>
      <w:r>
        <w:t>Când este util</w:t>
      </w:r>
    </w:p>
    <w:p>
      <w:pPr>
        <w:pStyle w:val="ListBullet"/>
      </w:pPr>
      <w:r>
        <w:rPr>
          <w:rFonts w:ascii="Calibri" w:hAnsi="Calibri" w:eastAsia="Calibri"/>
        </w:rPr>
        <w:t>Când regulile sunt doar verbale sau diferă între punctele de lucru.</w:t>
      </w:r>
    </w:p>
    <w:p>
      <w:pPr>
        <w:pStyle w:val="ListBullet"/>
      </w:pPr>
      <w:r>
        <w:rPr>
          <w:rFonts w:ascii="Calibri" w:hAnsi="Calibri" w:eastAsia="Calibri"/>
        </w:rPr>
        <w:t>Când apar diferențe între situația din teren, documentele de predare și evidența lunară.</w:t>
      </w:r>
    </w:p>
    <w:p>
      <w:pPr>
        <w:pStyle w:val="ListBullet"/>
      </w:pPr>
      <w:r>
        <w:rPr>
          <w:rFonts w:ascii="Calibri" w:hAnsi="Calibri" w:eastAsia="Calibri"/>
        </w:rPr>
        <w:t>La instruirea personalului și a furnizorilor care operează pe amplasament.</w:t>
      </w:r>
    </w:p>
    <w:p>
      <w:pPr>
        <w:pStyle w:val="ListBullet"/>
      </w:pPr>
      <w:r>
        <w:rPr>
          <w:rFonts w:ascii="Calibri" w:hAnsi="Calibri" w:eastAsia="Calibri"/>
        </w:rPr>
        <w:t>La revizuirea sistemului după audit, incident sau control.</w:t>
      </w:r>
    </w:p>
    <w:p>
      <w:pPr>
        <w:pStyle w:val="Heading2"/>
      </w:pPr>
      <w:r>
        <w:t>Cum se folosește</w:t>
      </w:r>
    </w:p>
    <w:p>
      <w:pPr>
        <w:pStyle w:val="ListNumber"/>
        <w:keepNext/>
        <w:numPr>
          <w:ilvl w:val="0"/>
          <w:numId w:val="10"/>
        </w:numPr>
      </w:pPr>
      <w:r>
        <w:rPr>
          <w:rFonts w:ascii="Calibri" w:hAnsi="Calibri" w:eastAsia="Calibri"/>
        </w:rPr>
        <w:t>Înlocuiește toate câmpurile marcate și atașează lista reală de deșeuri.</w:t>
      </w:r>
    </w:p>
    <w:p>
      <w:pPr>
        <w:pStyle w:val="ListNumber"/>
        <w:keepNext/>
        <w:numPr>
          <w:ilvl w:val="0"/>
          <w:numId w:val="10"/>
        </w:numPr>
      </w:pPr>
      <w:r>
        <w:rPr>
          <w:rFonts w:ascii="Calibri" w:hAnsi="Calibri" w:eastAsia="Calibri"/>
        </w:rPr>
        <w:t>Aprobă procedura prin circuitul intern aplicabil și comunic-o persoanelor vizate.</w:t>
      </w:r>
    </w:p>
    <w:p>
      <w:pPr>
        <w:pStyle w:val="ListNumber"/>
        <w:keepNext/>
        <w:numPr>
          <w:ilvl w:val="0"/>
          <w:numId w:val="10"/>
        </w:numPr>
      </w:pPr>
      <w:r>
        <w:rPr>
          <w:rFonts w:ascii="Calibri" w:hAnsi="Calibri" w:eastAsia="Calibri"/>
        </w:rPr>
        <w:t>Testează în teren fiecare pas și corectează diferențele constatate.</w:t>
      </w:r>
    </w:p>
    <w:p>
      <w:pPr>
        <w:pStyle w:val="ListNumber"/>
        <w:keepNext w:val="0"/>
        <w:numPr>
          <w:ilvl w:val="0"/>
          <w:numId w:val="10"/>
        </w:numPr>
      </w:pPr>
      <w:r>
        <w:rPr>
          <w:rFonts w:ascii="Calibri" w:hAnsi="Calibri" w:eastAsia="Calibri"/>
        </w:rPr>
        <w:t>Revizuiește procedura la modificarea activității, autorizației, operatorilor sau cerințelor legale.</w:t>
      </w:r>
    </w:p>
    <w:p>
      <w:pPr>
        <w:pStyle w:val="Heading1"/>
      </w:pPr>
      <w:r>
        <w:t>2. Controlul documentului</w:t>
      </w:r>
    </w:p>
    <w:tbl>
      <w:tblPr>
        <w:tblW w:type="dxa" w:w="9360"/>
        <w:jc w:val="left"/>
        <w:tblLayout w:type="fixed"/>
        <w:tblLook w:firstColumn="1" w:firstRow="1" w:lastColumn="0" w:lastRow="0" w:noHBand="0" w:noVBand="1" w:val="04A0"/>
        <w:tblInd w:w="120" w:type="dxa"/>
        <w:tblBorders>
          <w:top w:val="single" w:sz="4" w:space="0" w:color="B9C3C0"/>
          <w:left w:val="single" w:sz="4" w:space="0" w:color="B9C3C0"/>
          <w:bottom w:val="single" w:sz="4" w:space="0" w:color="B9C3C0"/>
          <w:right w:val="single" w:sz="4" w:space="0" w:color="B9C3C0"/>
          <w:insideH w:val="single" w:sz="4" w:space="0" w:color="B9C3C0"/>
          <w:insideV w:val="single" w:sz="4" w:space="0" w:color="B9C3C0"/>
        </w:tblBorders>
      </w:tblPr>
      <w:tblGrid>
        <w:gridCol w:w="2200"/>
        <w:gridCol w:w="7160"/>
      </w:tblGrid>
      <w:tr>
        <w:trPr>
          <w:cantSplit/>
          <w:tblHeader w:val="true"/>
        </w:trPr>
        <w:tc>
          <w:tcPr>
            <w:tcW w:type="dxa" w:w="2200"/>
            <w:shd w:fill="D5F33C"/>
            <w:vAlign w:val="center"/>
            <w:tcMar>
              <w:top w:w="80" w:type="dxa"/>
              <w:start w:w="120" w:type="dxa"/>
              <w:bottom w:w="80" w:type="dxa"/>
              <w:end w:w="120" w:type="dxa"/>
            </w:tcMar>
          </w:tcPr>
          <w:p>
            <w:pPr>
              <w:spacing w:before="0" w:after="0" w:line="259" w:lineRule="auto"/>
            </w:pPr>
            <w:r/>
            <w:r>
              <w:rPr>
                <w:rFonts w:ascii="Calibri" w:hAnsi="Calibri" w:eastAsia="Calibri"/>
                <w:b/>
                <w:color w:val="092F29"/>
                <w:sz w:val="18"/>
              </w:rPr>
              <w:t>Element</w:t>
            </w:r>
          </w:p>
        </w:tc>
        <w:tc>
          <w:tcPr>
            <w:tcW w:type="dxa" w:w="7160"/>
            <w:shd w:fill="D5F33C"/>
            <w:vAlign w:val="center"/>
            <w:tcMar>
              <w:top w:w="80" w:type="dxa"/>
              <w:start w:w="120" w:type="dxa"/>
              <w:bottom w:w="80" w:type="dxa"/>
              <w:end w:w="120" w:type="dxa"/>
            </w:tcMar>
          </w:tcPr>
          <w:p>
            <w:pPr>
              <w:spacing w:before="0" w:after="0" w:line="259" w:lineRule="auto"/>
            </w:pPr>
            <w:r/>
            <w:r>
              <w:rPr>
                <w:rFonts w:ascii="Calibri" w:hAnsi="Calibri" w:eastAsia="Calibri"/>
                <w:b/>
                <w:color w:val="092F29"/>
                <w:sz w:val="18"/>
              </w:rPr>
              <w:t>Completare</w:t>
            </w:r>
          </w:p>
        </w:tc>
      </w:tr>
      <w:tr>
        <w:trPr>
          <w:cantSplit/>
        </w:trPr>
        <w:tc>
          <w:tcPr>
            <w:tcW w:type="dxa" w:w="2200"/>
            <w:shd w:fill="E7EDEB"/>
            <w:vAlign w:val="center"/>
            <w:tcMar>
              <w:top w:w="80" w:type="dxa"/>
              <w:start w:w="120" w:type="dxa"/>
              <w:bottom w:w="80" w:type="dxa"/>
              <w:end w:w="120" w:type="dxa"/>
            </w:tcMar>
          </w:tcPr>
          <w:p>
            <w:pPr>
              <w:spacing w:before="0" w:after="0" w:line="259" w:lineRule="auto"/>
            </w:pPr>
            <w:r/>
            <w:r>
              <w:rPr>
                <w:rFonts w:ascii="Calibri" w:hAnsi="Calibri" w:eastAsia="Calibri"/>
                <w:b/>
                <w:color w:val="092F29"/>
                <w:sz w:val="18"/>
              </w:rPr>
              <w:t>Cod procedură</w:t>
            </w:r>
          </w:p>
        </w:tc>
        <w:tc>
          <w:tcPr>
            <w:tcW w:type="dxa" w:w="716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8"/>
              </w:rPr>
              <w:t>[ex.: PM-DS-01]</w:t>
            </w:r>
          </w:p>
        </w:tc>
      </w:tr>
      <w:tr>
        <w:trPr>
          <w:cantSplit/>
        </w:trPr>
        <w:tc>
          <w:tcPr>
            <w:tcW w:type="dxa" w:w="2200"/>
            <w:shd w:fill="E7EDEB"/>
            <w:vAlign w:val="center"/>
            <w:tcMar>
              <w:top w:w="80" w:type="dxa"/>
              <w:start w:w="120" w:type="dxa"/>
              <w:bottom w:w="80" w:type="dxa"/>
              <w:end w:w="120" w:type="dxa"/>
            </w:tcMar>
          </w:tcPr>
          <w:p>
            <w:pPr>
              <w:spacing w:before="0" w:after="0" w:line="259" w:lineRule="auto"/>
            </w:pPr>
            <w:r/>
            <w:r>
              <w:rPr>
                <w:rFonts w:ascii="Calibri" w:hAnsi="Calibri" w:eastAsia="Calibri"/>
                <w:b/>
                <w:color w:val="092F29"/>
                <w:sz w:val="18"/>
              </w:rPr>
              <w:t>Versiune / data intrării în vigoare</w:t>
            </w:r>
          </w:p>
        </w:tc>
        <w:tc>
          <w:tcPr>
            <w:tcW w:type="dxa" w:w="716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8"/>
              </w:rPr>
              <w:t>[de completat]</w:t>
            </w:r>
          </w:p>
        </w:tc>
      </w:tr>
      <w:tr>
        <w:trPr>
          <w:cantSplit/>
        </w:trPr>
        <w:tc>
          <w:tcPr>
            <w:tcW w:type="dxa" w:w="2200"/>
            <w:shd w:fill="E7EDEB"/>
            <w:vAlign w:val="center"/>
            <w:tcMar>
              <w:top w:w="80" w:type="dxa"/>
              <w:start w:w="120" w:type="dxa"/>
              <w:bottom w:w="80" w:type="dxa"/>
              <w:end w:w="120" w:type="dxa"/>
            </w:tcMar>
          </w:tcPr>
          <w:p>
            <w:pPr>
              <w:spacing w:before="0" w:after="0" w:line="259" w:lineRule="auto"/>
            </w:pPr>
            <w:r/>
            <w:r>
              <w:rPr>
                <w:rFonts w:ascii="Calibri" w:hAnsi="Calibri" w:eastAsia="Calibri"/>
                <w:b/>
                <w:color w:val="092F29"/>
                <w:sz w:val="18"/>
              </w:rPr>
              <w:t>Elaborat / verificat / aprobat</w:t>
            </w:r>
          </w:p>
        </w:tc>
        <w:tc>
          <w:tcPr>
            <w:tcW w:type="dxa" w:w="716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8"/>
              </w:rPr>
              <w:t>[nume, funcție, semnătură]</w:t>
            </w:r>
          </w:p>
        </w:tc>
      </w:tr>
      <w:tr>
        <w:trPr>
          <w:cantSplit/>
        </w:trPr>
        <w:tc>
          <w:tcPr>
            <w:tcW w:type="dxa" w:w="2200"/>
            <w:shd w:fill="E7EDEB"/>
            <w:vAlign w:val="center"/>
            <w:tcMar>
              <w:top w:w="80" w:type="dxa"/>
              <w:start w:w="120" w:type="dxa"/>
              <w:bottom w:w="80" w:type="dxa"/>
              <w:end w:w="120" w:type="dxa"/>
            </w:tcMar>
          </w:tcPr>
          <w:p>
            <w:pPr>
              <w:spacing w:before="0" w:after="0" w:line="259" w:lineRule="auto"/>
            </w:pPr>
            <w:r/>
            <w:r>
              <w:rPr>
                <w:rFonts w:ascii="Calibri" w:hAnsi="Calibri" w:eastAsia="Calibri"/>
                <w:b/>
                <w:color w:val="092F29"/>
                <w:sz w:val="18"/>
              </w:rPr>
              <w:t>Puncte de lucru</w:t>
            </w:r>
          </w:p>
        </w:tc>
        <w:tc>
          <w:tcPr>
            <w:tcW w:type="dxa" w:w="716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8"/>
              </w:rPr>
              <w:t>[de completat]</w:t>
            </w:r>
          </w:p>
        </w:tc>
      </w:tr>
      <w:tr>
        <w:trPr>
          <w:cantSplit/>
        </w:trPr>
        <w:tc>
          <w:tcPr>
            <w:tcW w:type="dxa" w:w="2200"/>
            <w:shd w:fill="E7EDEB"/>
            <w:vAlign w:val="center"/>
            <w:tcMar>
              <w:top w:w="80" w:type="dxa"/>
              <w:start w:w="120" w:type="dxa"/>
              <w:bottom w:w="80" w:type="dxa"/>
              <w:end w:w="120" w:type="dxa"/>
            </w:tcMar>
          </w:tcPr>
          <w:p>
            <w:pPr>
              <w:spacing w:before="0" w:after="0" w:line="259" w:lineRule="auto"/>
            </w:pPr>
            <w:r/>
            <w:r>
              <w:rPr>
                <w:rFonts w:ascii="Calibri" w:hAnsi="Calibri" w:eastAsia="Calibri"/>
                <w:b/>
                <w:color w:val="092F29"/>
                <w:sz w:val="18"/>
              </w:rPr>
              <w:t>Anexe controlate</w:t>
            </w:r>
          </w:p>
        </w:tc>
        <w:tc>
          <w:tcPr>
            <w:tcW w:type="dxa" w:w="716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8"/>
              </w:rPr>
              <w:t>[lista codurilor, plan amplasament, formulare]</w:t>
            </w:r>
          </w:p>
        </w:tc>
      </w:tr>
    </w:tbl>
    <w:p>
      <w:pPr>
        <w:spacing w:after="40"/>
      </w:pPr>
    </w:p>
    <w:p>
      <w:pPr>
        <w:pStyle w:val="Heading1"/>
      </w:pPr>
      <w:r>
        <w:t>3. Domeniu de aplicare și principii</w:t>
      </w:r>
    </w:p>
    <w:p>
      <w:pPr>
        <w:keepLines w:val="0"/>
      </w:pPr>
      <w:r>
        <w:rPr>
          <w:rFonts w:ascii="Calibri" w:hAnsi="Calibri" w:eastAsia="Calibri"/>
          <w:i w:val="0"/>
        </w:rPr>
        <w:t>Procedura se aplică personalului propriu, temporar și contractanților care generează, manipulează, stochează sau predau deșeuri pe amplasamentele incluse.</w:t>
      </w:r>
    </w:p>
    <w:p>
      <w:pPr>
        <w:pStyle w:val="ListBullet"/>
      </w:pPr>
      <w:r>
        <w:rPr>
          <w:rFonts w:ascii="Calibri" w:hAnsi="Calibri" w:eastAsia="Calibri"/>
        </w:rPr>
        <w:t>Prevenirea și reducerea generării au prioritate față de reciclare, valorificare și eliminare.</w:t>
      </w:r>
    </w:p>
    <w:p>
      <w:pPr>
        <w:pStyle w:val="ListBullet"/>
      </w:pPr>
      <w:r>
        <w:rPr>
          <w:rFonts w:ascii="Calibri" w:hAnsi="Calibri" w:eastAsia="Calibri"/>
        </w:rPr>
        <w:t>Deșeurile se separă la sursă și nu se amestecă pentru a ascunde proprietăți, origine sau destinație.</w:t>
      </w:r>
    </w:p>
    <w:p>
      <w:pPr>
        <w:pStyle w:val="ListBullet"/>
      </w:pPr>
      <w:r>
        <w:rPr>
          <w:rFonts w:ascii="Calibri" w:hAnsi="Calibri" w:eastAsia="Calibri"/>
        </w:rPr>
        <w:t>Predarea se face numai către operatori și instalații verificate pentru activitatea și codurile relevante.</w:t>
      </w:r>
    </w:p>
    <w:p>
      <w:pPr>
        <w:pStyle w:val="ListBullet"/>
      </w:pPr>
      <w:r>
        <w:rPr>
          <w:rFonts w:ascii="Calibri" w:hAnsi="Calibri" w:eastAsia="Calibri"/>
        </w:rPr>
        <w:t>Nicio cantitate nu părăsește amplasamentul fără documentele aplicabile și fără înregistrare.</w:t>
      </w:r>
    </w:p>
    <w:p>
      <w:pPr>
        <w:pStyle w:val="ListBullet"/>
      </w:pPr>
      <w:r>
        <w:rPr>
          <w:rFonts w:ascii="Calibri" w:hAnsi="Calibri" w:eastAsia="Calibri"/>
        </w:rPr>
        <w:t>Evidența trebuie să poată fi reconciliată cu stocul, cântărirea, transportul, factura și destinația.</w:t>
      </w:r>
    </w:p>
    <w:p>
      <w:pPr>
        <w:pStyle w:val="Heading1"/>
      </w:pPr>
      <w:r>
        <w:t>4. Roluri și responsabilități</w:t>
      </w:r>
    </w:p>
    <w:tbl>
      <w:tblPr>
        <w:tblW w:type="dxa" w:w="9360"/>
        <w:jc w:val="left"/>
        <w:tblLayout w:type="fixed"/>
        <w:tblLook w:firstColumn="1" w:firstRow="1" w:lastColumn="0" w:lastRow="0" w:noHBand="0" w:noVBand="1" w:val="04A0"/>
        <w:tblInd w:w="120" w:type="dxa"/>
        <w:tblBorders>
          <w:top w:val="single" w:sz="4" w:space="0" w:color="B9C3C0"/>
          <w:left w:val="single" w:sz="4" w:space="0" w:color="B9C3C0"/>
          <w:bottom w:val="single" w:sz="4" w:space="0" w:color="B9C3C0"/>
          <w:right w:val="single" w:sz="4" w:space="0" w:color="B9C3C0"/>
          <w:insideH w:val="single" w:sz="4" w:space="0" w:color="B9C3C0"/>
          <w:insideV w:val="single" w:sz="4" w:space="0" w:color="B9C3C0"/>
        </w:tblBorders>
      </w:tblPr>
      <w:tblGrid>
        <w:gridCol w:w="2300"/>
        <w:gridCol w:w="7060"/>
      </w:tblGrid>
      <w:tr>
        <w:trPr>
          <w:cantSplit/>
          <w:tblHeader w:val="true"/>
        </w:trPr>
        <w:tc>
          <w:tcPr>
            <w:tcW w:type="dxa" w:w="2300"/>
            <w:shd w:fill="D5F33C"/>
            <w:vAlign w:val="center"/>
            <w:tcMar>
              <w:top w:w="80" w:type="dxa"/>
              <w:start w:w="120" w:type="dxa"/>
              <w:bottom w:w="80" w:type="dxa"/>
              <w:end w:w="120" w:type="dxa"/>
            </w:tcMar>
          </w:tcPr>
          <w:p>
            <w:pPr>
              <w:spacing w:before="0" w:after="0" w:line="259" w:lineRule="auto"/>
            </w:pPr>
            <w:r/>
            <w:r>
              <w:rPr>
                <w:rFonts w:ascii="Calibri" w:hAnsi="Calibri" w:eastAsia="Calibri"/>
                <w:b/>
                <w:color w:val="092F29"/>
                <w:sz w:val="17"/>
              </w:rPr>
              <w:t>Rol</w:t>
            </w:r>
          </w:p>
        </w:tc>
        <w:tc>
          <w:tcPr>
            <w:tcW w:type="dxa" w:w="7060"/>
            <w:shd w:fill="D5F33C"/>
            <w:vAlign w:val="center"/>
            <w:tcMar>
              <w:top w:w="80" w:type="dxa"/>
              <w:start w:w="120" w:type="dxa"/>
              <w:bottom w:w="80" w:type="dxa"/>
              <w:end w:w="120" w:type="dxa"/>
            </w:tcMar>
          </w:tcPr>
          <w:p>
            <w:pPr>
              <w:spacing w:before="0" w:after="0" w:line="259" w:lineRule="auto"/>
            </w:pPr>
            <w:r/>
            <w:r>
              <w:rPr>
                <w:rFonts w:ascii="Calibri" w:hAnsi="Calibri" w:eastAsia="Calibri"/>
                <w:b/>
                <w:color w:val="092F29"/>
                <w:sz w:val="17"/>
              </w:rPr>
              <w:t>Responsabilități minime</w:t>
            </w:r>
          </w:p>
        </w:tc>
      </w:tr>
      <w:tr>
        <w:trPr>
          <w:cantSplit/>
        </w:trPr>
        <w:tc>
          <w:tcPr>
            <w:tcW w:type="dxa" w:w="23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7"/>
              </w:rPr>
              <w:t>Conducerea</w:t>
            </w:r>
          </w:p>
        </w:tc>
        <w:tc>
          <w:tcPr>
            <w:tcW w:type="dxa" w:w="706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7"/>
              </w:rPr>
              <w:t>Asigură resursele, aprobă procedura, desemnează responsabilitățile și soluționează riscurile escaladate.</w:t>
            </w:r>
          </w:p>
        </w:tc>
      </w:tr>
      <w:tr>
        <w:trPr>
          <w:cantSplit/>
        </w:trPr>
        <w:tc>
          <w:tcPr>
            <w:tcW w:type="dxa" w:w="23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7"/>
              </w:rPr>
              <w:t>Responsabilul pentru gestionarea deșeurilor</w:t>
            </w:r>
          </w:p>
        </w:tc>
        <w:tc>
          <w:tcPr>
            <w:tcW w:type="dxa" w:w="706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7"/>
              </w:rPr>
              <w:t>Coordonează inventarul, codificarea, verificarea operatorilor, evidența, raportarea, instruirea și controalele interne.</w:t>
            </w:r>
          </w:p>
        </w:tc>
      </w:tr>
      <w:tr>
        <w:trPr>
          <w:cantSplit/>
        </w:trPr>
        <w:tc>
          <w:tcPr>
            <w:tcW w:type="dxa" w:w="23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7"/>
              </w:rPr>
              <w:t>Șefii de activitate / punct de lucru</w:t>
            </w:r>
          </w:p>
        </w:tc>
        <w:tc>
          <w:tcPr>
            <w:tcW w:type="dxa" w:w="706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7"/>
              </w:rPr>
              <w:t>Identifică schimbările, asigură recipiente și disciplină operațională și transmit lunar datele și documentele.</w:t>
            </w:r>
          </w:p>
        </w:tc>
      </w:tr>
      <w:tr>
        <w:trPr>
          <w:cantSplit/>
        </w:trPr>
        <w:tc>
          <w:tcPr>
            <w:tcW w:type="dxa" w:w="23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7"/>
              </w:rPr>
              <w:t>Personalul</w:t>
            </w:r>
          </w:p>
        </w:tc>
        <w:tc>
          <w:tcPr>
            <w:tcW w:type="dxa" w:w="706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7"/>
              </w:rPr>
              <w:t>Separă, etichetează, semnalează incidentele și nu mută ori predă deșeuri în afara circuitului aprobat.</w:t>
            </w:r>
          </w:p>
        </w:tc>
      </w:tr>
      <w:tr>
        <w:trPr>
          <w:cantSplit/>
        </w:trPr>
        <w:tc>
          <w:tcPr>
            <w:tcW w:type="dxa" w:w="23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7"/>
              </w:rPr>
              <w:t>Achiziții / logistică / financiar</w:t>
            </w:r>
          </w:p>
        </w:tc>
        <w:tc>
          <w:tcPr>
            <w:tcW w:type="dxa" w:w="706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7"/>
              </w:rPr>
              <w:t>Furnizează datele și documentele necesare contractării, reconcilierii cantităților și obligațiilor de raportare.</w:t>
            </w:r>
          </w:p>
        </w:tc>
      </w:tr>
      <w:tr>
        <w:trPr>
          <w:cantSplit/>
        </w:trPr>
        <w:tc>
          <w:tcPr>
            <w:tcW w:type="dxa" w:w="23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7"/>
              </w:rPr>
              <w:t>Contractanții</w:t>
            </w:r>
          </w:p>
        </w:tc>
        <w:tc>
          <w:tcPr>
            <w:tcW w:type="dxa" w:w="706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7"/>
              </w:rPr>
              <w:t>Respectă regulile amplasamentului și predau documentele și informațiile prevăzute în contract.</w:t>
            </w:r>
          </w:p>
        </w:tc>
      </w:tr>
    </w:tbl>
    <w:p>
      <w:pPr>
        <w:spacing w:after="40"/>
      </w:pPr>
    </w:p>
    <w:p>
      <w:pPr>
        <w:pStyle w:val="Heading1"/>
      </w:pPr>
      <w:r>
        <w:t>5. Fluxul operațional</w:t>
      </w:r>
    </w:p>
    <w:tbl>
      <w:tblPr>
        <w:tblW w:type="dxa" w:w="9360"/>
        <w:jc w:val="left"/>
        <w:tblLayout w:type="fixed"/>
        <w:tblLook w:firstColumn="1" w:firstRow="1" w:lastColumn="0" w:lastRow="0" w:noHBand="0" w:noVBand="1" w:val="04A0"/>
        <w:tblInd w:w="120" w:type="dxa"/>
        <w:tblBorders>
          <w:top w:val="single" w:sz="4" w:space="0" w:color="B9C3C0"/>
          <w:left w:val="single" w:sz="4" w:space="0" w:color="B9C3C0"/>
          <w:bottom w:val="single" w:sz="4" w:space="0" w:color="B9C3C0"/>
          <w:right w:val="single" w:sz="4" w:space="0" w:color="B9C3C0"/>
          <w:insideH w:val="single" w:sz="4" w:space="0" w:color="B9C3C0"/>
          <w:insideV w:val="single" w:sz="4" w:space="0" w:color="B9C3C0"/>
        </w:tblBorders>
      </w:tblPr>
      <w:tblGrid>
        <w:gridCol w:w="900"/>
        <w:gridCol w:w="5200"/>
        <w:gridCol w:w="3260"/>
      </w:tblGrid>
      <w:tr>
        <w:trPr>
          <w:cantSplit/>
          <w:tblHeader w:val="true"/>
        </w:trPr>
        <w:tc>
          <w:tcPr>
            <w:tcW w:type="dxa" w:w="900"/>
            <w:shd w:fill="D5F33C"/>
            <w:vAlign w:val="center"/>
            <w:tcMar>
              <w:top w:w="80" w:type="dxa"/>
              <w:start w:w="120" w:type="dxa"/>
              <w:bottom w:w="80" w:type="dxa"/>
              <w:end w:w="120" w:type="dxa"/>
            </w:tcMar>
          </w:tcPr>
          <w:p>
            <w:pPr>
              <w:spacing w:before="0" w:after="0" w:line="259" w:lineRule="auto"/>
            </w:pPr>
            <w:r/>
            <w:r>
              <w:rPr>
                <w:rFonts w:ascii="Calibri" w:hAnsi="Calibri" w:eastAsia="Calibri"/>
                <w:b/>
                <w:color w:val="092F29"/>
                <w:sz w:val="17"/>
              </w:rPr>
              <w:t>Pas</w:t>
            </w:r>
          </w:p>
        </w:tc>
        <w:tc>
          <w:tcPr>
            <w:tcW w:type="dxa" w:w="5200"/>
            <w:shd w:fill="D5F33C"/>
            <w:vAlign w:val="center"/>
            <w:tcMar>
              <w:top w:w="80" w:type="dxa"/>
              <w:start w:w="120" w:type="dxa"/>
              <w:bottom w:w="80" w:type="dxa"/>
              <w:end w:w="120" w:type="dxa"/>
            </w:tcMar>
          </w:tcPr>
          <w:p>
            <w:pPr>
              <w:spacing w:before="0" w:after="0" w:line="259" w:lineRule="auto"/>
            </w:pPr>
            <w:r/>
            <w:r>
              <w:rPr>
                <w:rFonts w:ascii="Calibri" w:hAnsi="Calibri" w:eastAsia="Calibri"/>
                <w:b/>
                <w:color w:val="092F29"/>
                <w:sz w:val="17"/>
              </w:rPr>
              <w:t>Acțiune obligatorie</w:t>
            </w:r>
          </w:p>
        </w:tc>
        <w:tc>
          <w:tcPr>
            <w:tcW w:type="dxa" w:w="3260"/>
            <w:shd w:fill="D5F33C"/>
            <w:vAlign w:val="center"/>
            <w:tcMar>
              <w:top w:w="80" w:type="dxa"/>
              <w:start w:w="120" w:type="dxa"/>
              <w:bottom w:w="80" w:type="dxa"/>
              <w:end w:w="120" w:type="dxa"/>
            </w:tcMar>
          </w:tcPr>
          <w:p>
            <w:pPr>
              <w:spacing w:before="0" w:after="0" w:line="259" w:lineRule="auto"/>
            </w:pPr>
            <w:r/>
            <w:r>
              <w:rPr>
                <w:rFonts w:ascii="Calibri" w:hAnsi="Calibri" w:eastAsia="Calibri"/>
                <w:b/>
                <w:color w:val="092F29"/>
                <w:sz w:val="17"/>
              </w:rPr>
              <w:t>Înregistrare / dovadă</w:t>
            </w:r>
          </w:p>
        </w:tc>
      </w:tr>
      <w:tr>
        <w:trPr>
          <w:cantSplit/>
        </w:trPr>
        <w:tc>
          <w:tcPr>
            <w:tcW w:type="dxa" w:w="9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7"/>
              </w:rPr>
              <w:t>1. Identificare</w:t>
            </w:r>
          </w:p>
        </w:tc>
        <w:tc>
          <w:tcPr>
            <w:tcW w:type="dxa" w:w="52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7"/>
              </w:rPr>
              <w:t>Se inventariază procesul, punctul de generare, materialul și cauzele apariției deșeului.</w:t>
            </w:r>
          </w:p>
        </w:tc>
        <w:tc>
          <w:tcPr>
            <w:tcW w:type="dxa" w:w="326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7"/>
              </w:rPr>
              <w:t>fișă de inventariere; schemă de flux</w:t>
            </w:r>
          </w:p>
        </w:tc>
      </w:tr>
      <w:tr>
        <w:trPr>
          <w:cantSplit/>
        </w:trPr>
        <w:tc>
          <w:tcPr>
            <w:tcW w:type="dxa" w:w="9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7"/>
              </w:rPr>
              <w:t>2. Încadrare</w:t>
            </w:r>
          </w:p>
        </w:tc>
        <w:tc>
          <w:tcPr>
            <w:tcW w:type="dxa" w:w="52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7"/>
              </w:rPr>
              <w:t>Codul se stabilește în funcție de sursă și compoziție. Variantele periculoase/nepericuloase se analizează documentat.</w:t>
            </w:r>
          </w:p>
        </w:tc>
        <w:tc>
          <w:tcPr>
            <w:tcW w:type="dxa" w:w="326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7"/>
              </w:rPr>
              <w:t>notă de codificare; SDS; buletin de analiză, când este necesar</w:t>
            </w:r>
          </w:p>
        </w:tc>
      </w:tr>
      <w:tr>
        <w:trPr>
          <w:cantSplit/>
        </w:trPr>
        <w:tc>
          <w:tcPr>
            <w:tcW w:type="dxa" w:w="9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7"/>
              </w:rPr>
              <w:t>3. Colectare la sursă</w:t>
            </w:r>
          </w:p>
        </w:tc>
        <w:tc>
          <w:tcPr>
            <w:tcW w:type="dxa" w:w="52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7"/>
              </w:rPr>
              <w:t>Se folosesc recipiente compatibile, suficiente, închise când este necesar și etichetate clar.</w:t>
            </w:r>
          </w:p>
        </w:tc>
        <w:tc>
          <w:tcPr>
            <w:tcW w:type="dxa" w:w="326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7"/>
              </w:rPr>
              <w:t>plan recipiente; instrucțiune locală; verificare vizuală</w:t>
            </w:r>
          </w:p>
        </w:tc>
      </w:tr>
      <w:tr>
        <w:trPr>
          <w:cantSplit/>
        </w:trPr>
        <w:tc>
          <w:tcPr>
            <w:tcW w:type="dxa" w:w="9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7"/>
              </w:rPr>
              <w:t>4. Transport intern</w:t>
            </w:r>
          </w:p>
        </w:tc>
        <w:tc>
          <w:tcPr>
            <w:tcW w:type="dxa" w:w="52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7"/>
              </w:rPr>
              <w:t>Mutarea se face pe traseu stabilit, cu mijloace adecvate și fără pierderi, scurgeri sau amestecare.</w:t>
            </w:r>
          </w:p>
        </w:tc>
        <w:tc>
          <w:tcPr>
            <w:tcW w:type="dxa" w:w="326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7"/>
              </w:rPr>
              <w:t>registru intern; fișă incident, dacă este cazul</w:t>
            </w:r>
          </w:p>
        </w:tc>
      </w:tr>
      <w:tr>
        <w:trPr>
          <w:cantSplit/>
        </w:trPr>
        <w:tc>
          <w:tcPr>
            <w:tcW w:type="dxa" w:w="9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7"/>
              </w:rPr>
              <w:t>5. Stocare temporară</w:t>
            </w:r>
          </w:p>
        </w:tc>
        <w:tc>
          <w:tcPr>
            <w:tcW w:type="dxa" w:w="52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7"/>
              </w:rPr>
              <w:t>Zonele sunt delimitate, protejate și controlate; se urmăresc compatibilitatea, cantitățile și timpul de stocare.</w:t>
            </w:r>
          </w:p>
        </w:tc>
        <w:tc>
          <w:tcPr>
            <w:tcW w:type="dxa" w:w="326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7"/>
              </w:rPr>
              <w:t>plan zonă; registru stoc; inspecție periodică</w:t>
            </w:r>
          </w:p>
        </w:tc>
      </w:tr>
      <w:tr>
        <w:trPr>
          <w:cantSplit/>
        </w:trPr>
        <w:tc>
          <w:tcPr>
            <w:tcW w:type="dxa" w:w="9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7"/>
              </w:rPr>
              <w:t>6. Selectarea operatorului</w:t>
            </w:r>
          </w:p>
        </w:tc>
        <w:tc>
          <w:tcPr>
            <w:tcW w:type="dxa" w:w="52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7"/>
              </w:rPr>
              <w:t>Se verifică documentele operatorului și ale destinației pentru operația și codul vizat, înainte de prima predare și periodic.</w:t>
            </w:r>
          </w:p>
        </w:tc>
        <w:tc>
          <w:tcPr>
            <w:tcW w:type="dxa" w:w="326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7"/>
              </w:rPr>
              <w:t>fișă verificare; autorizație; contract</w:t>
            </w:r>
          </w:p>
        </w:tc>
      </w:tr>
      <w:tr>
        <w:trPr>
          <w:cantSplit/>
        </w:trPr>
        <w:tc>
          <w:tcPr>
            <w:tcW w:type="dxa" w:w="9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7"/>
              </w:rPr>
              <w:t>7. Predare și transport</w:t>
            </w:r>
          </w:p>
        </w:tc>
        <w:tc>
          <w:tcPr>
            <w:tcW w:type="dxa" w:w="52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7"/>
              </w:rPr>
              <w:t>Cantitatea se cântărește/estimează conform metodei aprobate și se emit documentele aplicabile.</w:t>
            </w:r>
          </w:p>
        </w:tc>
        <w:tc>
          <w:tcPr>
            <w:tcW w:type="dxa" w:w="326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7"/>
              </w:rPr>
              <w:t>aviz; formular; tichet; proces-verbal; certificat</w:t>
            </w:r>
          </w:p>
        </w:tc>
      </w:tr>
      <w:tr>
        <w:trPr>
          <w:cantSplit/>
        </w:trPr>
        <w:tc>
          <w:tcPr>
            <w:tcW w:type="dxa" w:w="9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7"/>
              </w:rPr>
              <w:t>8. Evidență și reconciliere</w:t>
            </w:r>
          </w:p>
        </w:tc>
        <w:tc>
          <w:tcPr>
            <w:tcW w:type="dxa" w:w="52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7"/>
              </w:rPr>
              <w:t>Lunar se compară stocul inițial, generarea, predarea și stocul final cu documentele comerciale și de transport.</w:t>
            </w:r>
          </w:p>
        </w:tc>
        <w:tc>
          <w:tcPr>
            <w:tcW w:type="dxa" w:w="326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7"/>
              </w:rPr>
              <w:t>evidență cronologică; balanță lunară</w:t>
            </w:r>
          </w:p>
        </w:tc>
      </w:tr>
      <w:tr>
        <w:trPr>
          <w:cantSplit/>
        </w:trPr>
        <w:tc>
          <w:tcPr>
            <w:tcW w:type="dxa" w:w="9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7"/>
              </w:rPr>
              <w:t>9. Raportare și arhivare</w:t>
            </w:r>
          </w:p>
        </w:tc>
        <w:tc>
          <w:tcPr>
            <w:tcW w:type="dxa" w:w="52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7"/>
              </w:rPr>
              <w:t>Datele sunt validate, raportate în sistemul aplicabil și arhivate cu dovada depunerii.</w:t>
            </w:r>
          </w:p>
        </w:tc>
        <w:tc>
          <w:tcPr>
            <w:tcW w:type="dxa" w:w="326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7"/>
              </w:rPr>
              <w:t>confirmare raportare; opis electronic</w:t>
            </w:r>
          </w:p>
        </w:tc>
      </w:tr>
    </w:tbl>
    <w:p>
      <w:pPr>
        <w:spacing w:after="40"/>
      </w:pPr>
    </w:p>
    <w:p>
      <w:pPr>
        <w:pStyle w:val="Heading1"/>
      </w:pPr>
      <w:r>
        <w:t>6. Reguli suplimentare pentru deșeuri periculoase</w:t>
      </w:r>
    </w:p>
    <w:p>
      <w:pPr>
        <w:pStyle w:val="ListBullet"/>
      </w:pPr>
      <w:r>
        <w:rPr>
          <w:rFonts w:ascii="Calibri" w:hAnsi="Calibri" w:eastAsia="Calibri"/>
        </w:rPr>
        <w:t>Se păstrează separat categoriile incompatibile și se evită diluarea sau amestecarea.</w:t>
      </w:r>
    </w:p>
    <w:p>
      <w:pPr>
        <w:pStyle w:val="ListBullet"/>
      </w:pPr>
      <w:r>
        <w:rPr>
          <w:rFonts w:ascii="Calibri" w:hAnsi="Calibri" w:eastAsia="Calibri"/>
        </w:rPr>
        <w:t>Eticheta indică denumirea, codul, caracterul periculos și data începerii stocării, potrivit sistemului intern și cerințelor aplicabile.</w:t>
      </w:r>
    </w:p>
    <w:p>
      <w:pPr>
        <w:pStyle w:val="ListBullet"/>
      </w:pPr>
      <w:r>
        <w:rPr>
          <w:rFonts w:ascii="Calibri" w:hAnsi="Calibri" w:eastAsia="Calibri"/>
        </w:rPr>
        <w:t>Recipientele sunt compatibile, integre și păstrate în zone cu măsuri adecvate pentru scurgeri și incendiu.</w:t>
      </w:r>
    </w:p>
    <w:p>
      <w:pPr>
        <w:pStyle w:val="ListBullet"/>
      </w:pPr>
      <w:r>
        <w:rPr>
          <w:rFonts w:ascii="Calibri" w:hAnsi="Calibri" w:eastAsia="Calibri"/>
        </w:rPr>
        <w:t>Caracterizarea și buletinele de analiză se păstrează și se prezintă la cererea autorităților competente, când obligația este aplicabilă.</w:t>
      </w:r>
    </w:p>
    <w:p>
      <w:pPr>
        <w:pStyle w:val="ListBullet"/>
      </w:pPr>
      <w:r>
        <w:rPr>
          <w:rFonts w:ascii="Calibri" w:hAnsi="Calibri" w:eastAsia="Calibri"/>
        </w:rPr>
        <w:t>Incidentul, scurgerea ori deteriorarea recipientului se izolează și se raportează imediat, fără expunerea neprotejată a personalului.</w:t>
      </w:r>
    </w:p>
    <w:p>
      <w:pPr>
        <w:pStyle w:val="Heading1"/>
      </w:pPr>
      <w:r>
        <w:t>7. Neconformități și incidente</w:t>
      </w:r>
    </w:p>
    <w:p>
      <w:pPr>
        <w:pStyle w:val="ListNumber"/>
        <w:keepNext/>
        <w:numPr>
          <w:ilvl w:val="0"/>
          <w:numId w:val="11"/>
        </w:numPr>
      </w:pPr>
      <w:r>
        <w:rPr>
          <w:rFonts w:ascii="Calibri" w:hAnsi="Calibri" w:eastAsia="Calibri"/>
        </w:rPr>
        <w:t>Oprește operațiunea dacă există risc pentru oameni sau mediu.</w:t>
      </w:r>
    </w:p>
    <w:p>
      <w:pPr>
        <w:pStyle w:val="ListNumber"/>
        <w:keepNext/>
        <w:numPr>
          <w:ilvl w:val="0"/>
          <w:numId w:val="11"/>
        </w:numPr>
      </w:pPr>
      <w:r>
        <w:rPr>
          <w:rFonts w:ascii="Calibri" w:hAnsi="Calibri" w:eastAsia="Calibri"/>
        </w:rPr>
        <w:t>Izolează zona și aplică instrucțiunea de urgență, fără a depăși competența și instruirea primită.</w:t>
      </w:r>
    </w:p>
    <w:p>
      <w:pPr>
        <w:pStyle w:val="ListNumber"/>
        <w:keepNext/>
        <w:numPr>
          <w:ilvl w:val="0"/>
          <w:numId w:val="11"/>
        </w:numPr>
      </w:pPr>
      <w:r>
        <w:rPr>
          <w:rFonts w:ascii="Calibri" w:hAnsi="Calibri" w:eastAsia="Calibri"/>
        </w:rPr>
        <w:t>Informează responsabilul și conducerea conform circuitului stabilit.</w:t>
      </w:r>
    </w:p>
    <w:p>
      <w:pPr>
        <w:pStyle w:val="ListNumber"/>
        <w:keepNext/>
        <w:numPr>
          <w:ilvl w:val="0"/>
          <w:numId w:val="11"/>
        </w:numPr>
      </w:pPr>
      <w:r>
        <w:rPr>
          <w:rFonts w:ascii="Calibri" w:hAnsi="Calibri" w:eastAsia="Calibri"/>
        </w:rPr>
        <w:t>Înregistrează data, locul, materialul/deșeul, cantitatea, cauza probabilă și măsurile imediate.</w:t>
      </w:r>
    </w:p>
    <w:p>
      <w:pPr>
        <w:pStyle w:val="ListNumber"/>
        <w:keepNext/>
        <w:numPr>
          <w:ilvl w:val="0"/>
          <w:numId w:val="11"/>
        </w:numPr>
      </w:pPr>
      <w:r>
        <w:rPr>
          <w:rFonts w:ascii="Calibri" w:hAnsi="Calibri" w:eastAsia="Calibri"/>
        </w:rPr>
        <w:t>Evaluează obligația de notificare a autorităților și păstrează dovada comunicării.</w:t>
      </w:r>
    </w:p>
    <w:p>
      <w:pPr>
        <w:pStyle w:val="ListNumber"/>
        <w:keepNext w:val="0"/>
        <w:numPr>
          <w:ilvl w:val="0"/>
          <w:numId w:val="11"/>
        </w:numPr>
      </w:pPr>
      <w:r>
        <w:rPr>
          <w:rFonts w:ascii="Calibri" w:hAnsi="Calibri" w:eastAsia="Calibri"/>
        </w:rPr>
        <w:t>Stabilește acțiunea corectivă, responsabilul, termenul și verificarea eficacității.</w:t>
      </w:r>
    </w:p>
    <w:p>
      <w:pPr>
        <w:pStyle w:val="Heading1"/>
      </w:pPr>
      <w:r>
        <w:t>8. Înregistrări controlate</w:t>
      </w:r>
    </w:p>
    <w:tbl>
      <w:tblPr>
        <w:tblW w:type="dxa" w:w="9360"/>
        <w:jc w:val="left"/>
        <w:tblLayout w:type="fixed"/>
        <w:tblLook w:firstColumn="1" w:firstRow="1" w:lastColumn="0" w:lastRow="0" w:noHBand="0" w:noVBand="1" w:val="04A0"/>
        <w:tblInd w:w="120" w:type="dxa"/>
        <w:tblBorders>
          <w:top w:val="single" w:sz="4" w:space="0" w:color="B9C3C0"/>
          <w:left w:val="single" w:sz="4" w:space="0" w:color="B9C3C0"/>
          <w:bottom w:val="single" w:sz="4" w:space="0" w:color="B9C3C0"/>
          <w:right w:val="single" w:sz="4" w:space="0" w:color="B9C3C0"/>
          <w:insideH w:val="single" w:sz="4" w:space="0" w:color="B9C3C0"/>
          <w:insideV w:val="single" w:sz="4" w:space="0" w:color="B9C3C0"/>
        </w:tblBorders>
      </w:tblPr>
      <w:tblGrid>
        <w:gridCol w:w="2600"/>
        <w:gridCol w:w="1600"/>
        <w:gridCol w:w="1600"/>
        <w:gridCol w:w="1900"/>
        <w:gridCol w:w="1660"/>
      </w:tblGrid>
      <w:tr>
        <w:trPr>
          <w:cantSplit/>
          <w:tblHeader w:val="true"/>
        </w:trPr>
        <w:tc>
          <w:tcPr>
            <w:tcW w:type="dxa" w:w="2600"/>
            <w:shd w:fill="D5F33C"/>
            <w:vAlign w:val="center"/>
            <w:tcMar>
              <w:top w:w="80" w:type="dxa"/>
              <w:start w:w="120" w:type="dxa"/>
              <w:bottom w:w="80" w:type="dxa"/>
              <w:end w:w="120" w:type="dxa"/>
            </w:tcMar>
          </w:tcPr>
          <w:p>
            <w:pPr>
              <w:spacing w:before="0" w:after="0" w:line="259" w:lineRule="auto"/>
            </w:pPr>
            <w:r/>
            <w:r>
              <w:rPr>
                <w:rFonts w:ascii="Calibri" w:hAnsi="Calibri" w:eastAsia="Calibri"/>
                <w:b/>
                <w:color w:val="092F29"/>
                <w:sz w:val="16"/>
              </w:rPr>
              <w:t>Înregistrare</w:t>
            </w:r>
          </w:p>
        </w:tc>
        <w:tc>
          <w:tcPr>
            <w:tcW w:type="dxa" w:w="1600"/>
            <w:shd w:fill="D5F33C"/>
            <w:vAlign w:val="center"/>
            <w:tcMar>
              <w:top w:w="80" w:type="dxa"/>
              <w:start w:w="120" w:type="dxa"/>
              <w:bottom w:w="80" w:type="dxa"/>
              <w:end w:w="120" w:type="dxa"/>
            </w:tcMar>
          </w:tcPr>
          <w:p>
            <w:pPr>
              <w:spacing w:before="0" w:after="0" w:line="259" w:lineRule="auto"/>
            </w:pPr>
            <w:r/>
            <w:r>
              <w:rPr>
                <w:rFonts w:ascii="Calibri" w:hAnsi="Calibri" w:eastAsia="Calibri"/>
                <w:b/>
                <w:color w:val="092F29"/>
                <w:sz w:val="16"/>
              </w:rPr>
              <w:t>Responsabil</w:t>
            </w:r>
          </w:p>
        </w:tc>
        <w:tc>
          <w:tcPr>
            <w:tcW w:type="dxa" w:w="1600"/>
            <w:shd w:fill="D5F33C"/>
            <w:vAlign w:val="center"/>
            <w:tcMar>
              <w:top w:w="80" w:type="dxa"/>
              <w:start w:w="120" w:type="dxa"/>
              <w:bottom w:w="80" w:type="dxa"/>
              <w:end w:w="120" w:type="dxa"/>
            </w:tcMar>
          </w:tcPr>
          <w:p>
            <w:pPr>
              <w:spacing w:before="0" w:after="0" w:line="259" w:lineRule="auto"/>
            </w:pPr>
            <w:r/>
            <w:r>
              <w:rPr>
                <w:rFonts w:ascii="Calibri" w:hAnsi="Calibri" w:eastAsia="Calibri"/>
                <w:b/>
                <w:color w:val="092F29"/>
                <w:sz w:val="16"/>
              </w:rPr>
              <w:t>Frecvență</w:t>
            </w:r>
          </w:p>
        </w:tc>
        <w:tc>
          <w:tcPr>
            <w:tcW w:type="dxa" w:w="1900"/>
            <w:shd w:fill="D5F33C"/>
            <w:vAlign w:val="center"/>
            <w:tcMar>
              <w:top w:w="80" w:type="dxa"/>
              <w:start w:w="120" w:type="dxa"/>
              <w:bottom w:w="80" w:type="dxa"/>
              <w:end w:w="120" w:type="dxa"/>
            </w:tcMar>
          </w:tcPr>
          <w:p>
            <w:pPr>
              <w:spacing w:before="0" w:after="0" w:line="259" w:lineRule="auto"/>
            </w:pPr>
            <w:r/>
            <w:r>
              <w:rPr>
                <w:rFonts w:ascii="Calibri" w:hAnsi="Calibri" w:eastAsia="Calibri"/>
                <w:b/>
                <w:color w:val="092F29"/>
                <w:sz w:val="16"/>
              </w:rPr>
              <w:t>Loc de păstrare</w:t>
            </w:r>
          </w:p>
        </w:tc>
        <w:tc>
          <w:tcPr>
            <w:tcW w:type="dxa" w:w="1660"/>
            <w:shd w:fill="D5F33C"/>
            <w:vAlign w:val="center"/>
            <w:tcMar>
              <w:top w:w="80" w:type="dxa"/>
              <w:start w:w="120" w:type="dxa"/>
              <w:bottom w:w="80" w:type="dxa"/>
              <w:end w:w="120" w:type="dxa"/>
            </w:tcMar>
          </w:tcPr>
          <w:p>
            <w:pPr>
              <w:spacing w:before="0" w:after="0" w:line="259" w:lineRule="auto"/>
            </w:pPr>
            <w:r/>
            <w:r>
              <w:rPr>
                <w:rFonts w:ascii="Calibri" w:hAnsi="Calibri" w:eastAsia="Calibri"/>
                <w:b/>
                <w:color w:val="092F29"/>
                <w:sz w:val="16"/>
              </w:rPr>
              <w:t>Perioadă</w:t>
            </w:r>
          </w:p>
        </w:tc>
      </w:tr>
      <w:tr>
        <w:trPr>
          <w:cantSplit/>
        </w:trPr>
        <w:tc>
          <w:tcPr>
            <w:tcW w:type="dxa" w:w="26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6"/>
              </w:rPr>
              <w:t>Inventar și listă de coduri</w:t>
            </w:r>
          </w:p>
        </w:tc>
        <w:tc>
          <w:tcPr>
            <w:tcW w:type="dxa" w:w="16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6"/>
              </w:rPr>
            </w:r>
          </w:p>
        </w:tc>
        <w:tc>
          <w:tcPr>
            <w:tcW w:type="dxa" w:w="16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6"/>
              </w:rPr>
              <w:t>la modificare</w:t>
            </w:r>
          </w:p>
        </w:tc>
        <w:tc>
          <w:tcPr>
            <w:tcW w:type="dxa" w:w="19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6"/>
              </w:rPr>
            </w:r>
          </w:p>
        </w:tc>
        <w:tc>
          <w:tcPr>
            <w:tcW w:type="dxa" w:w="166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6"/>
              </w:rPr>
            </w:r>
          </w:p>
        </w:tc>
      </w:tr>
      <w:tr>
        <w:trPr>
          <w:cantSplit/>
        </w:trPr>
        <w:tc>
          <w:tcPr>
            <w:tcW w:type="dxa" w:w="26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6"/>
              </w:rPr>
              <w:t>Fișă verificare operator/destinație</w:t>
            </w:r>
          </w:p>
        </w:tc>
        <w:tc>
          <w:tcPr>
            <w:tcW w:type="dxa" w:w="16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6"/>
              </w:rPr>
            </w:r>
          </w:p>
        </w:tc>
        <w:tc>
          <w:tcPr>
            <w:tcW w:type="dxa" w:w="16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6"/>
              </w:rPr>
              <w:t>inițial și periodic</w:t>
            </w:r>
          </w:p>
        </w:tc>
        <w:tc>
          <w:tcPr>
            <w:tcW w:type="dxa" w:w="19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6"/>
              </w:rPr>
            </w:r>
          </w:p>
        </w:tc>
        <w:tc>
          <w:tcPr>
            <w:tcW w:type="dxa" w:w="166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6"/>
              </w:rPr>
            </w:r>
          </w:p>
        </w:tc>
      </w:tr>
      <w:tr>
        <w:trPr>
          <w:cantSplit/>
        </w:trPr>
        <w:tc>
          <w:tcPr>
            <w:tcW w:type="dxa" w:w="26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6"/>
              </w:rPr>
              <w:t>Inspecție zonă de stocare</w:t>
            </w:r>
          </w:p>
        </w:tc>
        <w:tc>
          <w:tcPr>
            <w:tcW w:type="dxa" w:w="16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6"/>
              </w:rPr>
            </w:r>
          </w:p>
        </w:tc>
        <w:tc>
          <w:tcPr>
            <w:tcW w:type="dxa" w:w="16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6"/>
              </w:rPr>
              <w:t>[lunar/săptămânal]</w:t>
            </w:r>
          </w:p>
        </w:tc>
        <w:tc>
          <w:tcPr>
            <w:tcW w:type="dxa" w:w="19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6"/>
              </w:rPr>
            </w:r>
          </w:p>
        </w:tc>
        <w:tc>
          <w:tcPr>
            <w:tcW w:type="dxa" w:w="166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6"/>
              </w:rPr>
            </w:r>
          </w:p>
        </w:tc>
      </w:tr>
      <w:tr>
        <w:trPr>
          <w:cantSplit/>
        </w:trPr>
        <w:tc>
          <w:tcPr>
            <w:tcW w:type="dxa" w:w="26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6"/>
              </w:rPr>
              <w:t>Evidență cronologică</w:t>
            </w:r>
          </w:p>
        </w:tc>
        <w:tc>
          <w:tcPr>
            <w:tcW w:type="dxa" w:w="16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6"/>
              </w:rPr>
            </w:r>
          </w:p>
        </w:tc>
        <w:tc>
          <w:tcPr>
            <w:tcW w:type="dxa" w:w="16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6"/>
              </w:rPr>
              <w:t>lunar</w:t>
            </w:r>
          </w:p>
        </w:tc>
        <w:tc>
          <w:tcPr>
            <w:tcW w:type="dxa" w:w="19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6"/>
              </w:rPr>
            </w:r>
          </w:p>
        </w:tc>
        <w:tc>
          <w:tcPr>
            <w:tcW w:type="dxa" w:w="166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6"/>
              </w:rPr>
            </w:r>
          </w:p>
        </w:tc>
      </w:tr>
      <w:tr>
        <w:trPr>
          <w:cantSplit/>
        </w:trPr>
        <w:tc>
          <w:tcPr>
            <w:tcW w:type="dxa" w:w="26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6"/>
              </w:rPr>
              <w:t>Balanță stoc și documente</w:t>
            </w:r>
          </w:p>
        </w:tc>
        <w:tc>
          <w:tcPr>
            <w:tcW w:type="dxa" w:w="16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6"/>
              </w:rPr>
            </w:r>
          </w:p>
        </w:tc>
        <w:tc>
          <w:tcPr>
            <w:tcW w:type="dxa" w:w="16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6"/>
              </w:rPr>
              <w:t>lunar</w:t>
            </w:r>
          </w:p>
        </w:tc>
        <w:tc>
          <w:tcPr>
            <w:tcW w:type="dxa" w:w="19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6"/>
              </w:rPr>
            </w:r>
          </w:p>
        </w:tc>
        <w:tc>
          <w:tcPr>
            <w:tcW w:type="dxa" w:w="166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6"/>
              </w:rPr>
            </w:r>
          </w:p>
        </w:tc>
      </w:tr>
      <w:tr>
        <w:trPr>
          <w:cantSplit/>
        </w:trPr>
        <w:tc>
          <w:tcPr>
            <w:tcW w:type="dxa" w:w="26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6"/>
              </w:rPr>
              <w:t>Instruire personal</w:t>
            </w:r>
          </w:p>
        </w:tc>
        <w:tc>
          <w:tcPr>
            <w:tcW w:type="dxa" w:w="16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6"/>
              </w:rPr>
            </w:r>
          </w:p>
        </w:tc>
        <w:tc>
          <w:tcPr>
            <w:tcW w:type="dxa" w:w="16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6"/>
              </w:rPr>
              <w:t>inițial și periodic</w:t>
            </w:r>
          </w:p>
        </w:tc>
        <w:tc>
          <w:tcPr>
            <w:tcW w:type="dxa" w:w="19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6"/>
              </w:rPr>
            </w:r>
          </w:p>
        </w:tc>
        <w:tc>
          <w:tcPr>
            <w:tcW w:type="dxa" w:w="166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6"/>
              </w:rPr>
            </w:r>
          </w:p>
        </w:tc>
      </w:tr>
      <w:tr>
        <w:trPr>
          <w:cantSplit/>
        </w:trPr>
        <w:tc>
          <w:tcPr>
            <w:tcW w:type="dxa" w:w="26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6"/>
              </w:rPr>
              <w:t>Incident / neconformitate</w:t>
            </w:r>
          </w:p>
        </w:tc>
        <w:tc>
          <w:tcPr>
            <w:tcW w:type="dxa" w:w="16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6"/>
              </w:rPr>
            </w:r>
          </w:p>
        </w:tc>
        <w:tc>
          <w:tcPr>
            <w:tcW w:type="dxa" w:w="16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6"/>
              </w:rPr>
              <w:t>la eveniment</w:t>
            </w:r>
          </w:p>
        </w:tc>
        <w:tc>
          <w:tcPr>
            <w:tcW w:type="dxa" w:w="190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6"/>
              </w:rPr>
            </w:r>
          </w:p>
        </w:tc>
        <w:tc>
          <w:tcPr>
            <w:tcW w:type="dxa" w:w="1660"/>
            <w:vAlign w:val="center"/>
            <w:tcMar>
              <w:top w:w="80" w:type="dxa"/>
              <w:start w:w="120" w:type="dxa"/>
              <w:bottom w:w="80" w:type="dxa"/>
              <w:end w:w="120" w:type="dxa"/>
            </w:tcMar>
          </w:tcPr>
          <w:p>
            <w:pPr>
              <w:spacing w:before="0" w:after="0" w:line="259" w:lineRule="auto"/>
            </w:pPr>
            <w:r/>
            <w:r>
              <w:rPr>
                <w:rFonts w:ascii="Calibri" w:hAnsi="Calibri" w:eastAsia="Calibri"/>
                <w:b w:val="0"/>
                <w:color w:val="092F29"/>
                <w:sz w:val="16"/>
              </w:rPr>
            </w:r>
          </w:p>
        </w:tc>
      </w:tr>
    </w:tbl>
    <w:p>
      <w:pPr>
        <w:spacing w:after="40"/>
      </w:pPr>
    </w:p>
    <w:p>
      <w:pPr>
        <w:keepLines/>
        <w:spacing w:before="80" w:after="120" w:line="288" w:lineRule="auto"/>
        <w:ind w:left="173" w:right="173"/>
        <w:shd w:fill="F3F0E7"/>
        <w:pBdr>
          <w:top w:val="single" w:sz="4" w:space="8" w:color="F3F0E7"/>
          <w:left w:val="single" w:sz="4" w:space="8" w:color="F3F0E7"/>
          <w:bottom w:val="single" w:sz="4" w:space="8" w:color="F3F0E7"/>
          <w:right w:val="single" w:sz="4" w:space="8" w:color="F3F0E7"/>
        </w:pBdr>
      </w:pPr>
      <w:r>
        <w:rPr>
          <w:rFonts w:ascii="Calibri" w:hAnsi="Calibri" w:eastAsia="Calibri"/>
          <w:b/>
          <w:color w:val="092F29"/>
          <w:sz w:val="17"/>
        </w:rPr>
        <w:t>LIMITĂ IMPORTANTĂ</w:t>
        <w:br/>
      </w:r>
      <w:r>
        <w:rPr>
          <w:rFonts w:ascii="Calibri" w:hAnsi="Calibri" w:eastAsia="Calibri"/>
          <w:color w:val="092F29"/>
          <w:sz w:val="21"/>
        </w:rPr>
        <w:t>Lista de coduri, condițiile de stocare, formularele de transport, frecvențele și perioadele de păstrare nu se copiază automat din acest model. Ele se stabilesc din situația reală și din actele aplicabile.</w:t>
      </w:r>
    </w:p>
    <w:p>
      <w:pPr>
        <w:spacing w:after="20"/>
      </w:pPr>
    </w:p>
    <w:p>
      <w:pPr>
        <w:pStyle w:val="Heading1"/>
      </w:pPr>
      <w:r>
        <w:t>Surse oficiale consultate</w:t>
      </w:r>
    </w:p>
    <w:p>
      <w:pPr>
        <w:keepLines w:val="0"/>
      </w:pPr>
      <w:r>
        <w:rPr>
          <w:rFonts w:ascii="Calibri" w:hAnsi="Calibri" w:eastAsia="Calibri"/>
          <w:i w:val="0"/>
        </w:rPr>
        <w:t>Verificare editorială: 25 august 2026. Pentru utilizare externă se consultă forma consolidată disponibilă la data folosirii documentului.</w:t>
      </w:r>
    </w:p>
    <w:p>
      <w:pPr>
        <w:pStyle w:val="ListBullet"/>
      </w:pPr>
      <w:hyperlink r:id="rId13">
        <w:r>
          <w:rPr>
            <w:rFonts w:ascii="Calibri" w:hAnsi="Calibri"/>
            <w:color w:val="092F29"/>
            <w:u w:val="single"/>
          </w:rPr>
          <w:t>OUG nr. 92/2021 privind regimul deșeurilor - forma consolidată</w:t>
        </w:r>
      </w:hyperlink>
    </w:p>
    <w:p>
      <w:pPr>
        <w:pStyle w:val="ListBullet"/>
      </w:pPr>
      <w:hyperlink r:id="rId14">
        <w:r>
          <w:rPr>
            <w:rFonts w:ascii="Calibri" w:hAnsi="Calibri"/>
            <w:color w:val="092F29"/>
            <w:u w:val="single"/>
          </w:rPr>
          <w:t>HG nr. 856/2002 privind evidența gestiunii deșeurilor și lista deșeurilor</w:t>
        </w:r>
      </w:hyperlink>
    </w:p>
    <w:p>
      <w:pPr>
        <w:pStyle w:val="ListBullet"/>
      </w:pPr>
      <w:hyperlink r:id="rId15">
        <w:r>
          <w:rPr>
            <w:rFonts w:ascii="Calibri" w:hAnsi="Calibri"/>
            <w:color w:val="092F29"/>
            <w:u w:val="single"/>
          </w:rPr>
          <w:t>HG nr. 1.061/2008 privind transportul deșeurilor</w:t>
        </w:r>
      </w:hyperlink>
    </w:p>
    <w:p>
      <w:pPr>
        <w:pStyle w:val="ListBullet"/>
      </w:pPr>
      <w:hyperlink r:id="rId16">
        <w:r>
          <w:rPr>
            <w:rFonts w:ascii="Calibri" w:hAnsi="Calibri"/>
            <w:color w:val="092F29"/>
            <w:u w:val="single"/>
          </w:rPr>
          <w:t>OUG nr. 195/2005 privind protecția mediului - forma consolidată</w:t>
        </w:r>
      </w:hyperlink>
    </w:p>
    <w:p>
      <w:pPr>
        <w:keepLines/>
        <w:spacing w:before="80" w:after="120" w:line="288" w:lineRule="auto"/>
        <w:ind w:left="173" w:right="173"/>
        <w:shd w:fill="F3F0E7"/>
        <w:pBdr>
          <w:top w:val="single" w:sz="4" w:space="8" w:color="F3F0E7"/>
          <w:left w:val="single" w:sz="4" w:space="8" w:color="F3F0E7"/>
          <w:bottom w:val="single" w:sz="4" w:space="8" w:color="F3F0E7"/>
          <w:right w:val="single" w:sz="4" w:space="8" w:color="F3F0E7"/>
        </w:pBdr>
      </w:pPr>
      <w:r>
        <w:rPr>
          <w:rFonts w:ascii="Calibri" w:hAnsi="Calibri" w:eastAsia="Calibri"/>
          <w:b/>
          <w:color w:val="092F29"/>
          <w:sz w:val="17"/>
        </w:rPr>
        <w:t>NOTĂ DE APLICABILITATE</w:t>
        <w:br/>
      </w:r>
      <w:r>
        <w:rPr>
          <w:rFonts w:ascii="Calibri" w:hAnsi="Calibri" w:eastAsia="Calibri"/>
          <w:color w:val="092F29"/>
          <w:sz w:val="21"/>
        </w:rPr>
        <w:t>Procedura trebuie corelată cu autorizația, natura deșeurilor, cerințele de securitate, transportul și contractele. Pentru deșeuri sau activități speciale se aplică reguli suplimentare.</w:t>
      </w:r>
    </w:p>
    <w:p>
      <w:pPr>
        <w:spacing w:after="20"/>
      </w:pPr>
    </w:p>
    <w:p>
      <w:pPr>
        <w:pStyle w:val="Heading1"/>
        <w:spacing w:before="160" w:after="100"/>
      </w:pPr>
      <w:r>
        <w:t>Ai nevoie de varianta personalizată?</w:t>
      </w:r>
    </w:p>
    <w:p>
      <w:pPr>
        <w:keepLines/>
        <w:spacing w:before="80" w:after="0" w:line="288" w:lineRule="auto"/>
        <w:ind w:left="173" w:right="173"/>
        <w:shd w:fill="D5F33C"/>
        <w:pBdr>
          <w:top w:val="single" w:sz="4" w:space="8" w:color="D5F33C"/>
          <w:left w:val="single" w:sz="4" w:space="8" w:color="D5F33C"/>
          <w:bottom w:val="single" w:sz="4" w:space="8" w:color="D5F33C"/>
          <w:right w:val="single" w:sz="4" w:space="8" w:color="D5F33C"/>
        </w:pBdr>
      </w:pPr>
      <w:r>
        <w:rPr>
          <w:rFonts w:ascii="Calibri" w:hAnsi="Calibri" w:eastAsia="Calibri"/>
          <w:b/>
          <w:color w:val="092F29"/>
          <w:sz w:val="17"/>
        </w:rPr>
        <w:t>MEDIU LA PUNCT</w:t>
        <w:br/>
      </w:r>
      <w:r>
        <w:rPr>
          <w:rFonts w:ascii="Calibri" w:hAnsi="Calibri" w:eastAsia="Calibri"/>
          <w:color w:val="092F29"/>
          <w:sz w:val="21"/>
        </w:rPr>
        <w:t>Elaborăm procedura completă, lista justificată a deșeurilor, planul punctelor de colectare, formularele, responsabilitățile și instruirea pe fluxul real. Detalii și servicii: mediulapunct.ro.</w:t>
      </w:r>
    </w:p>
    <w:sectPr w:rsidR="00FC693F" w:rsidRPr="0006063C" w:rsidSect="00034616">
      <w:headerReference w:type="default" r:id="rId9"/>
      <w:headerReference w:type="even" r:id="rId10"/>
      <w:footerReference w:type="default" r:id="rId11"/>
      <w:footerReference w:type="even" r:id="rId12"/>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360" w:val="right"/>
      </w:tabs>
      <w:spacing w:before="80"/>
      <w:pBdr>
        <w:bottom w:val="single" w:sz="4" w:space="4" w:color="B9C3C0"/>
      </w:pBdr>
    </w:pPr>
    <w:r>
      <w:rPr>
        <w:rFonts w:ascii="Calibri" w:hAnsi="Calibri" w:eastAsia="Calibri"/>
        <w:color w:val="66736E"/>
        <w:sz w:val="16"/>
      </w:rPr>
      <w:t>Mediu la Punct | mediulapunct.ro | Model orientativ</w:t>
    </w:r>
    <w:r>
      <w:tab/>
    </w:r>
    <w:r>
      <w:rPr>
        <w:rFonts w:ascii="Calibri" w:hAnsi="Calibri" w:eastAsia="Calibri"/>
        <w:color w:val="66736E"/>
        <w:sz w:val="16"/>
      </w:rPr>
      <w:t xml:space="preserve">Pagina </w:t>
    </w:r>
    <w:r>
      <w:rPr>
        <w:rFonts w:ascii="Calibri" w:hAnsi="Calibri" w:eastAsia="Calibri"/>
        <w:color w:val="66736E"/>
        <w:sz w:val="16"/>
      </w:rPr>
      <w:fldChar w:fldCharType="begin"/>
      <w:instrText xml:space="preserve">PAGE</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360" w:val="right"/>
      </w:tabs>
      <w:spacing w:before="80"/>
      <w:pBdr>
        <w:bottom w:val="single" w:sz="4" w:space="4" w:color="B9C3C0"/>
      </w:pBdr>
    </w:pPr>
    <w:r>
      <w:rPr>
        <w:rFonts w:ascii="Calibri" w:hAnsi="Calibri" w:eastAsia="Calibri"/>
        <w:color w:val="66736E"/>
        <w:sz w:val="16"/>
      </w:rPr>
      <w:t>Mediu la Punct | mediulapunct.ro | Model orientativ</w:t>
    </w:r>
    <w:r>
      <w:tab/>
    </w:r>
    <w:r>
      <w:rPr>
        <w:rFonts w:ascii="Calibri" w:hAnsi="Calibri" w:eastAsia="Calibri"/>
        <w:color w:val="66736E"/>
        <w:sz w:val="16"/>
      </w:rPr>
      <w:t xml:space="preserve">Pagina </w:t>
    </w:r>
    <w:r>
      <w:rPr>
        <w:rFonts w:ascii="Calibri" w:hAnsi="Calibri" w:eastAsia="Calibri"/>
        <w:color w:val="66736E"/>
        <w:sz w:val="16"/>
      </w:rPr>
      <w:fldChar w:fldCharType="begin"/>
      <w:instrText xml:space="preserve">PAGE</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spacing w:after="60"/>
      <w:pBdr>
        <w:bottom w:val="single" w:sz="4" w:space="4" w:color="B9C3C0"/>
      </w:pBdr>
    </w:pPr>
    <w:r>
      <w:drawing>
        <wp:inline xmlns:a="http://schemas.openxmlformats.org/drawingml/2006/main" xmlns:pic="http://schemas.openxmlformats.org/drawingml/2006/picture">
          <wp:extent cx="1874519" cy="345233"/>
          <wp:docPr id="1" name="Picture 1" descr="Sigla Mediu la Punct" title="Mediu la Punct"/>
          <wp:cNvGraphicFramePr>
            <a:graphicFrameLocks noChangeAspect="1"/>
          </wp:cNvGraphicFramePr>
          <a:graphic>
            <a:graphicData uri="http://schemas.openxmlformats.org/drawingml/2006/picture">
              <pic:pic>
                <pic:nvPicPr>
                  <pic:cNvPr id="0" name="logo-mediu-la-punct.png"/>
                  <pic:cNvPicPr/>
                </pic:nvPicPr>
                <pic:blipFill>
                  <a:blip r:embed="rId1"/>
                  <a:stretch>
                    <a:fillRect/>
                  </a:stretch>
                </pic:blipFill>
                <pic:spPr>
                  <a:xfrm>
                    <a:off x="0" y="0"/>
                    <a:ext cx="1874519" cy="345233"/>
                  </a:xfrm>
                  <a:prstGeom prst="rect"/>
                </pic:spPr>
              </pic:pic>
            </a:graphicData>
          </a:graphic>
        </wp:inline>
      </w:drawing>
    </w:r>
    <w:r>
      <w:tab/>
    </w:r>
    <w:r>
      <w:rPr>
        <w:rFonts w:ascii="Calibri" w:hAnsi="Calibri" w:eastAsia="Calibri"/>
        <w:b/>
        <w:color w:val="66736E"/>
        <w:sz w:val="16"/>
      </w:rPr>
      <w:t>INSTRUMENT PRACTIC</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spacing w:after="60"/>
      <w:pBdr>
        <w:bottom w:val="single" w:sz="4" w:space="4" w:color="B9C3C0"/>
      </w:pBdr>
    </w:pPr>
    <w:r>
      <w:drawing>
        <wp:inline xmlns:a="http://schemas.openxmlformats.org/drawingml/2006/main" xmlns:pic="http://schemas.openxmlformats.org/drawingml/2006/picture">
          <wp:extent cx="1874519" cy="345233"/>
          <wp:docPr id="1" name="Picture 1" descr="Sigla Mediu la Punct" title="Mediu la Punct"/>
          <wp:cNvGraphicFramePr>
            <a:graphicFrameLocks noChangeAspect="1"/>
          </wp:cNvGraphicFramePr>
          <a:graphic>
            <a:graphicData uri="http://schemas.openxmlformats.org/drawingml/2006/picture">
              <pic:pic>
                <pic:nvPicPr>
                  <pic:cNvPr id="0" name="logo-mediu-la-punct.png"/>
                  <pic:cNvPicPr/>
                </pic:nvPicPr>
                <pic:blipFill>
                  <a:blip r:embed="rId1"/>
                  <a:stretch>
                    <a:fillRect/>
                  </a:stretch>
                </pic:blipFill>
                <pic:spPr>
                  <a:xfrm>
                    <a:off x="0" y="0"/>
                    <a:ext cx="1874519" cy="345233"/>
                  </a:xfrm>
                  <a:prstGeom prst="rect"/>
                </pic:spPr>
              </pic:pic>
            </a:graphicData>
          </a:graphic>
        </wp:inline>
      </w:drawing>
    </w:r>
    <w:r>
      <w:tab/>
    </w:r>
    <w:r>
      <w:rPr>
        <w:rFonts w:ascii="Calibri" w:hAnsi="Calibri" w:eastAsia="Calibri"/>
        <w:b/>
        <w:color w:val="66736E"/>
        <w:sz w:val="16"/>
      </w:rPr>
      <w:t>INSTRUMENT PRACTIC</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7"/>
    <w:lvlOverride w:ilvl="0">
      <w:startOverride w:val="1"/>
    </w:lvlOverride>
  </w:num>
  <w:num w:numId="11">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092F29"/>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092F29"/>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092F29"/>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66736E"/>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yperlink" Target="https://legislatie.just.ro/Public/DetaliiDocument/245846" TargetMode="External"/><Relationship Id="rId14" Type="http://schemas.openxmlformats.org/officeDocument/2006/relationships/hyperlink" Target="https://legislatie.just.ro/Public/DetaliiDocument/38294" TargetMode="External"/><Relationship Id="rId15" Type="http://schemas.openxmlformats.org/officeDocument/2006/relationships/hyperlink" Target="https://legislatie.just.ro/Public/DetaliiDocument/97706" TargetMode="External"/><Relationship Id="rId16" Type="http://schemas.openxmlformats.org/officeDocument/2006/relationships/hyperlink" Target="https://legislatie.just.ro/Public/DetaliiDocument/6763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Procedură-cadru de gestionare a deșeurilor</dc:title>
  <dc:subject>Instrument practic orientativ de conformare de mediu</dc:subject>
  <dc:creator>Mediu la Punct</dc:creator>
  <cp:keywords>mediu, deșeuri, conformare, model orientativ</cp:keywords>
  <dc:description>Actualizat la 25 august 2026.</dc:description>
  <cp:lastModifiedBy/>
  <cp:revision>1</cp:revision>
  <dcterms:created xsi:type="dcterms:W3CDTF">2013-12-23T23:15:00Z</dcterms:created>
  <dcterms:modified xsi:type="dcterms:W3CDTF">2013-12-23T23:15:00Z</dcterms:modified>
  <cp:category/>
</cp:coreProperties>
</file>