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40" w:after="160"/>
      </w:pPr>
      <w:r>
        <w:rPr>
          <w:rFonts w:ascii="Calibri" w:hAnsi="Calibri" w:eastAsia="Calibri"/>
          <w:b/>
          <w:caps/>
          <w:color w:val="66736E"/>
          <w:sz w:val="18"/>
        </w:rPr>
        <w:t>INSTRUMENT DE CONTROL</w:t>
      </w:r>
    </w:p>
    <w:p>
      <w:pPr>
        <w:keepNext/>
        <w:spacing w:before="0" w:after="200"/>
      </w:pPr>
      <w:r>
        <w:rPr>
          <w:rFonts w:ascii="Calibri" w:hAnsi="Calibri" w:eastAsia="Calibri"/>
          <w:b/>
          <w:color w:val="092F29"/>
          <w:sz w:val="56"/>
        </w:rPr>
        <w:t>Model de registru intern pentru obligații și documente de mediu</w:t>
      </w:r>
    </w:p>
    <w:p>
      <w:pPr>
        <w:spacing w:before="0" w:after="360" w:line="288" w:lineRule="auto"/>
      </w:pPr>
      <w:r>
        <w:rPr>
          <w:rFonts w:ascii="Calibri" w:hAnsi="Calibri" w:eastAsia="Calibri"/>
          <w:color w:val="66736E"/>
          <w:sz w:val="25"/>
        </w:rPr>
        <w:t>Centralizează obligațiile, documentele, termenele, măsurile și dovezile într-un singur sistem de urmărire.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9C3C0"/>
          <w:left w:val="single" w:sz="4" w:space="0" w:color="B9C3C0"/>
          <w:bottom w:val="single" w:sz="4" w:space="0" w:color="B9C3C0"/>
          <w:right w:val="single" w:sz="4" w:space="0" w:color="B9C3C0"/>
          <w:insideH w:val="single" w:sz="4" w:space="0" w:color="B9C3C0"/>
          <w:insideV w:val="single" w:sz="4" w:space="0" w:color="B9C3C0"/>
        </w:tblBorders>
      </w:tblPr>
      <w:tblGrid>
        <w:gridCol w:w="1800"/>
        <w:gridCol w:w="7560"/>
      </w:tblGrid>
      <w:tr>
        <w:trPr>
          <w:cantSplit/>
          <w:tblHeader w:val="true"/>
        </w:trPr>
        <w:tc>
          <w:tcPr>
            <w:tcW w:type="dxa" w:w="18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8"/>
              </w:rPr>
              <w:t>Câmp</w:t>
            </w:r>
          </w:p>
        </w:tc>
        <w:tc>
          <w:tcPr>
            <w:tcW w:type="dxa" w:w="756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8"/>
              </w:rPr>
              <w:t>Informație</w:t>
            </w:r>
          </w:p>
        </w:tc>
      </w:tr>
      <w:tr>
        <w:trPr>
          <w:cantSplit/>
        </w:trPr>
        <w:tc>
          <w:tcPr>
            <w:tcW w:type="dxa" w:w="1800"/>
            <w:shd w:fill="E7EDE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8"/>
              </w:rPr>
              <w:t>Destinat</w:t>
            </w:r>
          </w:p>
        </w:tc>
        <w:tc>
          <w:tcPr>
            <w:tcW w:type="dxa" w:w="7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8"/>
              </w:rPr>
              <w:t>Firme și instituții</w:t>
            </w:r>
          </w:p>
        </w:tc>
      </w:tr>
      <w:tr>
        <w:trPr>
          <w:cantSplit/>
        </w:trPr>
        <w:tc>
          <w:tcPr>
            <w:tcW w:type="dxa" w:w="1800"/>
            <w:shd w:fill="E7EDE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8"/>
              </w:rPr>
              <w:t>Format</w:t>
            </w:r>
          </w:p>
        </w:tc>
        <w:tc>
          <w:tcPr>
            <w:tcW w:type="dxa" w:w="7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8"/>
              </w:rPr>
              <w:t>Model editabil Word și versiune PDF pentru consultare/print</w:t>
            </w:r>
          </w:p>
        </w:tc>
      </w:tr>
      <w:tr>
        <w:trPr>
          <w:cantSplit/>
        </w:trPr>
        <w:tc>
          <w:tcPr>
            <w:tcW w:type="dxa" w:w="1800"/>
            <w:shd w:fill="E7EDE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8"/>
              </w:rPr>
              <w:t>Actualizare</w:t>
            </w:r>
          </w:p>
        </w:tc>
        <w:tc>
          <w:tcPr>
            <w:tcW w:type="dxa" w:w="7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8"/>
              </w:rPr>
              <w:t>25 august 2026</w:t>
            </w:r>
          </w:p>
        </w:tc>
      </w:tr>
      <w:tr>
        <w:trPr>
          <w:cantSplit/>
        </w:trPr>
        <w:tc>
          <w:tcPr>
            <w:tcW w:type="dxa" w:w="1800"/>
            <w:shd w:fill="E7EDE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8"/>
              </w:rPr>
              <w:t>Statut</w:t>
            </w:r>
          </w:p>
        </w:tc>
        <w:tc>
          <w:tcPr>
            <w:tcW w:type="dxa" w:w="7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8"/>
              </w:rPr>
              <w:t>Instrument orientativ. Necesită verificare și adaptare înainte de utilizare externă.</w:t>
            </w:r>
          </w:p>
        </w:tc>
      </w:tr>
    </w:tbl>
    <w:p>
      <w:pPr>
        <w:spacing w:after="40"/>
      </w:pPr>
    </w:p>
    <w:p>
      <w:pPr>
        <w:pStyle w:val="Heading1"/>
      </w:pPr>
      <w:r>
        <w:t>1. Scopul și utilizarea documentului</w:t>
      </w:r>
    </w:p>
    <w:p>
      <w:pPr>
        <w:keepLines/>
        <w:spacing w:before="80" w:after="120" w:line="288" w:lineRule="auto"/>
        <w:ind w:left="173" w:right="173"/>
        <w:shd w:fill="E7EDEB"/>
        <w:pBdr>
          <w:top w:val="single" w:sz="4" w:space="8" w:color="E7EDEB"/>
          <w:left w:val="single" w:sz="4" w:space="8" w:color="E7EDEB"/>
          <w:bottom w:val="single" w:sz="4" w:space="8" w:color="E7EDEB"/>
          <w:right w:val="single" w:sz="4" w:space="8" w:color="E7EDEB"/>
        </w:pBdr>
      </w:pPr>
      <w:r>
        <w:rPr>
          <w:rFonts w:ascii="Calibri" w:hAnsi="Calibri" w:eastAsia="Calibri"/>
          <w:b/>
          <w:color w:val="092F29"/>
          <w:sz w:val="17"/>
        </w:rPr>
        <w:t>SCOP</w:t>
        <w:br/>
      </w:r>
      <w:r>
        <w:rPr>
          <w:rFonts w:ascii="Calibri" w:hAnsi="Calibri" w:eastAsia="Calibri"/>
          <w:color w:val="092F29"/>
          <w:sz w:val="21"/>
        </w:rPr>
        <w:t>Registrul ajută la controlul informației și al termenelor. El nu este evidența legală a gestiunii deșeurilor și nu înlocuiește formularele sau raportările cerute de autorități.</w:t>
      </w:r>
    </w:p>
    <w:p>
      <w:pPr>
        <w:spacing w:after="20"/>
      </w:pPr>
    </w:p>
    <w:p>
      <w:pPr>
        <w:pStyle w:val="Heading2"/>
      </w:pPr>
      <w:r>
        <w:t>Când este util</w:t>
      </w:r>
    </w:p>
    <w:p>
      <w:pPr>
        <w:pStyle w:val="ListBullet"/>
      </w:pPr>
      <w:r>
        <w:rPr>
          <w:rFonts w:ascii="Calibri" w:hAnsi="Calibri" w:eastAsia="Calibri"/>
        </w:rPr>
        <w:t>Când informațiile sunt dispersate în e-mailuri și dosare.</w:t>
      </w:r>
    </w:p>
    <w:p>
      <w:pPr>
        <w:pStyle w:val="ListBullet"/>
      </w:pPr>
      <w:r>
        <w:rPr>
          <w:rFonts w:ascii="Calibri" w:hAnsi="Calibri" w:eastAsia="Calibri"/>
        </w:rPr>
        <w:t>Când termenele depind de memoria unei singure persoane.</w:t>
      </w:r>
    </w:p>
    <w:p>
      <w:pPr>
        <w:pStyle w:val="ListBullet"/>
      </w:pPr>
      <w:r>
        <w:rPr>
          <w:rFonts w:ascii="Calibri" w:hAnsi="Calibri" w:eastAsia="Calibri"/>
        </w:rPr>
        <w:t>Când conducerea solicită o situație sintetică a riscurilor și măsurilor.</w:t>
      </w:r>
    </w:p>
    <w:p>
      <w:pPr>
        <w:pStyle w:val="ListBullet"/>
      </w:pPr>
      <w:r>
        <w:rPr>
          <w:rFonts w:ascii="Calibri" w:hAnsi="Calibri" w:eastAsia="Calibri"/>
        </w:rPr>
        <w:t>La preluarea atribuțiilor, audit sau reorganizare.</w:t>
      </w:r>
    </w:p>
    <w:p>
      <w:pPr>
        <w:pStyle w:val="Heading2"/>
      </w:pPr>
      <w:r>
        <w:t>Cum se folosește</w:t>
      </w:r>
    </w:p>
    <w:p>
      <w:pPr>
        <w:pStyle w:val="ListNumber"/>
        <w:keepNext/>
        <w:numPr>
          <w:ilvl w:val="0"/>
          <w:numId w:val="10"/>
        </w:numPr>
      </w:pPr>
      <w:r>
        <w:rPr>
          <w:rFonts w:ascii="Calibri" w:hAnsi="Calibri" w:eastAsia="Calibri"/>
        </w:rPr>
        <w:t>Creează câte un registru pentru fiecare punct de lucru, dacă obligațiile diferă.</w:t>
      </w:r>
    </w:p>
    <w:p>
      <w:pPr>
        <w:pStyle w:val="ListNumber"/>
        <w:keepNext/>
        <w:numPr>
          <w:ilvl w:val="0"/>
          <w:numId w:val="10"/>
        </w:numPr>
      </w:pPr>
      <w:r>
        <w:rPr>
          <w:rFonts w:ascii="Calibri" w:hAnsi="Calibri" w:eastAsia="Calibri"/>
        </w:rPr>
        <w:t>Atribuie un proprietar fiecărui rând și folosește o sursă verificabilă.</w:t>
      </w:r>
    </w:p>
    <w:p>
      <w:pPr>
        <w:pStyle w:val="ListNumber"/>
        <w:keepNext/>
        <w:numPr>
          <w:ilvl w:val="0"/>
          <w:numId w:val="10"/>
        </w:numPr>
      </w:pPr>
      <w:r>
        <w:rPr>
          <w:rFonts w:ascii="Calibri" w:hAnsi="Calibri" w:eastAsia="Calibri"/>
        </w:rPr>
        <w:t>Atașează sau indică exact dovada, nu folosi formulări precum «rezolvat» fără document.</w:t>
      </w:r>
    </w:p>
    <w:p>
      <w:pPr>
        <w:pStyle w:val="ListNumber"/>
        <w:keepNext w:val="0"/>
        <w:numPr>
          <w:ilvl w:val="0"/>
          <w:numId w:val="10"/>
        </w:numPr>
      </w:pPr>
      <w:r>
        <w:rPr>
          <w:rFonts w:ascii="Calibri" w:hAnsi="Calibri" w:eastAsia="Calibri"/>
        </w:rPr>
        <w:t>Revizuiește lunar și raportează imediat termenele depășite sau riscurile majore.</w:t>
      </w:r>
    </w:p>
    <w:p>
      <w:pPr>
        <w:pStyle w:val="Heading1"/>
      </w:pPr>
      <w:r>
        <w:t>2. Registrul obligațiilor și termenelor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9C3C0"/>
          <w:left w:val="single" w:sz="4" w:space="0" w:color="B9C3C0"/>
          <w:bottom w:val="single" w:sz="4" w:space="0" w:color="B9C3C0"/>
          <w:right w:val="single" w:sz="4" w:space="0" w:color="B9C3C0"/>
          <w:insideH w:val="single" w:sz="4" w:space="0" w:color="B9C3C0"/>
          <w:insideV w:val="single" w:sz="4" w:space="0" w:color="B9C3C0"/>
        </w:tblBorders>
      </w:tblPr>
      <w:tblGrid>
        <w:gridCol w:w="650"/>
        <w:gridCol w:w="2100"/>
        <w:gridCol w:w="1600"/>
        <w:gridCol w:w="1300"/>
        <w:gridCol w:w="1300"/>
        <w:gridCol w:w="1500"/>
        <w:gridCol w:w="910"/>
      </w:tblGrid>
      <w:tr>
        <w:trPr>
          <w:cantSplit/>
          <w:tblHeader w:val="true"/>
        </w:trPr>
        <w:tc>
          <w:tcPr>
            <w:tcW w:type="dxa" w:w="65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5"/>
              </w:rPr>
              <w:t>ID</w:t>
            </w:r>
          </w:p>
        </w:tc>
        <w:tc>
          <w:tcPr>
            <w:tcW w:type="dxa" w:w="21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5"/>
              </w:rPr>
              <w:t>Obligație / condiție</w:t>
            </w:r>
          </w:p>
        </w:tc>
        <w:tc>
          <w:tcPr>
            <w:tcW w:type="dxa" w:w="16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5"/>
              </w:rPr>
              <w:t>Sursă exactă</w:t>
            </w:r>
          </w:p>
        </w:tc>
        <w:tc>
          <w:tcPr>
            <w:tcW w:type="dxa" w:w="13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5"/>
              </w:rPr>
              <w:t>Frecvență / termen</w:t>
            </w:r>
          </w:p>
        </w:tc>
        <w:tc>
          <w:tcPr>
            <w:tcW w:type="dxa" w:w="13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5"/>
              </w:rPr>
              <w:t>Responsabil</w:t>
            </w:r>
          </w:p>
        </w:tc>
        <w:tc>
          <w:tcPr>
            <w:tcW w:type="dxa" w:w="15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5"/>
              </w:rPr>
              <w:t>Dovadă</w:t>
            </w:r>
          </w:p>
        </w:tc>
        <w:tc>
          <w:tcPr>
            <w:tcW w:type="dxa" w:w="91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5"/>
              </w:rPr>
              <w:t>Status</w:t>
            </w:r>
          </w:p>
        </w:tc>
      </w:tr>
      <w:tr>
        <w:trPr>
          <w:cantSplit/>
        </w:trPr>
        <w:tc>
          <w:tcPr>
            <w:tcW w:type="dxa" w:w="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  <w:t>OB-01</w:t>
            </w:r>
          </w:p>
        </w:tc>
        <w:tc>
          <w:tcPr>
            <w:tcW w:type="dxa" w:w="2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  <w:t>[de completat]</w:t>
            </w:r>
          </w:p>
        </w:tc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  <w:t>[act/articol/autorizație]</w:t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9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</w:tr>
      <w:tr>
        <w:trPr>
          <w:cantSplit/>
        </w:trPr>
        <w:tc>
          <w:tcPr>
            <w:tcW w:type="dxa" w:w="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  <w:t>OB-02</w:t>
            </w:r>
          </w:p>
        </w:tc>
        <w:tc>
          <w:tcPr>
            <w:tcW w:type="dxa" w:w="2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9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</w:tr>
      <w:tr>
        <w:trPr>
          <w:cantSplit/>
        </w:trPr>
        <w:tc>
          <w:tcPr>
            <w:tcW w:type="dxa" w:w="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  <w:t>OB-03</w:t>
            </w:r>
          </w:p>
        </w:tc>
        <w:tc>
          <w:tcPr>
            <w:tcW w:type="dxa" w:w="2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9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</w:tr>
      <w:tr>
        <w:trPr>
          <w:cantSplit/>
        </w:trPr>
        <w:tc>
          <w:tcPr>
            <w:tcW w:type="dxa" w:w="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  <w:t>OB-04</w:t>
            </w:r>
          </w:p>
        </w:tc>
        <w:tc>
          <w:tcPr>
            <w:tcW w:type="dxa" w:w="2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9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</w:tr>
      <w:tr>
        <w:trPr>
          <w:cantSplit/>
        </w:trPr>
        <w:tc>
          <w:tcPr>
            <w:tcW w:type="dxa" w:w="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  <w:t>OB-05</w:t>
            </w:r>
          </w:p>
        </w:tc>
        <w:tc>
          <w:tcPr>
            <w:tcW w:type="dxa" w:w="2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9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</w:tr>
    </w:tbl>
    <w:p>
      <w:pPr>
        <w:spacing w:after="40"/>
      </w:pPr>
    </w:p>
    <w:p>
      <w:pPr>
        <w:keepLines w:val="0"/>
      </w:pPr>
      <w:r>
        <w:rPr>
          <w:rFonts w:ascii="Calibri" w:hAnsi="Calibri" w:eastAsia="Calibri"/>
          <w:i/>
        </w:rPr>
        <w:t>Cod status recomandat: V - în termen; G - atenție; R - depășit/risc; N/A - inaplicabil justificat.</w:t>
      </w:r>
    </w:p>
    <w:p>
      <w:pPr>
        <w:pStyle w:val="Heading1"/>
      </w:pPr>
      <w:r>
        <w:t>3. Registrul actelor și documentelor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9C3C0"/>
          <w:left w:val="single" w:sz="4" w:space="0" w:color="B9C3C0"/>
          <w:bottom w:val="single" w:sz="4" w:space="0" w:color="B9C3C0"/>
          <w:right w:val="single" w:sz="4" w:space="0" w:color="B9C3C0"/>
          <w:insideH w:val="single" w:sz="4" w:space="0" w:color="B9C3C0"/>
          <w:insideV w:val="single" w:sz="4" w:space="0" w:color="B9C3C0"/>
        </w:tblBorders>
      </w:tblPr>
      <w:tblGrid>
        <w:gridCol w:w="850"/>
        <w:gridCol w:w="1850"/>
        <w:gridCol w:w="1400"/>
        <w:gridCol w:w="1200"/>
        <w:gridCol w:w="1400"/>
        <w:gridCol w:w="1200"/>
        <w:gridCol w:w="1460"/>
      </w:tblGrid>
      <w:tr>
        <w:trPr>
          <w:cantSplit/>
          <w:tblHeader w:val="true"/>
        </w:trPr>
        <w:tc>
          <w:tcPr>
            <w:tcW w:type="dxa" w:w="85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5"/>
              </w:rPr>
              <w:t>ID</w:t>
            </w:r>
          </w:p>
        </w:tc>
        <w:tc>
          <w:tcPr>
            <w:tcW w:type="dxa" w:w="185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5"/>
              </w:rPr>
              <w:t>Document</w:t>
            </w:r>
          </w:p>
        </w:tc>
        <w:tc>
          <w:tcPr>
            <w:tcW w:type="dxa" w:w="14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5"/>
              </w:rPr>
              <w:t>Emitent / proprietar</w:t>
            </w:r>
          </w:p>
        </w:tc>
        <w:tc>
          <w:tcPr>
            <w:tcW w:type="dxa" w:w="12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5"/>
              </w:rPr>
              <w:t>Număr / versiune</w:t>
            </w:r>
          </w:p>
        </w:tc>
        <w:tc>
          <w:tcPr>
            <w:tcW w:type="dxa" w:w="14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5"/>
              </w:rPr>
              <w:t>Valabilitate / revizie</w:t>
            </w:r>
          </w:p>
        </w:tc>
        <w:tc>
          <w:tcPr>
            <w:tcW w:type="dxa" w:w="12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5"/>
              </w:rPr>
              <w:t>Locație</w:t>
            </w:r>
          </w:p>
        </w:tc>
        <w:tc>
          <w:tcPr>
            <w:tcW w:type="dxa" w:w="146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5"/>
              </w:rPr>
              <w:t>Acțiune următoare</w:t>
            </w:r>
          </w:p>
        </w:tc>
      </w:tr>
      <w:tr>
        <w:trPr>
          <w:cantSplit/>
        </w:trPr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  <w:t>DOC-01</w:t>
            </w:r>
          </w:p>
        </w:tc>
        <w:tc>
          <w:tcPr>
            <w:tcW w:type="dxa" w:w="1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  <w:t>[autorizație/procedură/contract]</w:t>
            </w:r>
          </w:p>
        </w:tc>
        <w:tc>
          <w:tcPr>
            <w:tcW w:type="dxa" w:w="1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4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</w:tr>
      <w:tr>
        <w:trPr>
          <w:cantSplit/>
        </w:trPr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  <w:t>DOC-02</w:t>
            </w:r>
          </w:p>
        </w:tc>
        <w:tc>
          <w:tcPr>
            <w:tcW w:type="dxa" w:w="1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4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</w:tr>
      <w:tr>
        <w:trPr>
          <w:cantSplit/>
        </w:trPr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  <w:t>DOC-03</w:t>
            </w:r>
          </w:p>
        </w:tc>
        <w:tc>
          <w:tcPr>
            <w:tcW w:type="dxa" w:w="1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4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</w:tr>
      <w:tr>
        <w:trPr>
          <w:cantSplit/>
        </w:trPr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  <w:t>DOC-04</w:t>
            </w:r>
          </w:p>
        </w:tc>
        <w:tc>
          <w:tcPr>
            <w:tcW w:type="dxa" w:w="1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4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</w:tr>
    </w:tbl>
    <w:p>
      <w:pPr>
        <w:spacing w:after="40"/>
      </w:pPr>
    </w:p>
    <w:p>
      <w:pPr>
        <w:pStyle w:val="Heading1"/>
      </w:pPr>
      <w:r>
        <w:t>4. Registrul lunar al documentelor de deșeuri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9C3C0"/>
          <w:left w:val="single" w:sz="4" w:space="0" w:color="B9C3C0"/>
          <w:bottom w:val="single" w:sz="4" w:space="0" w:color="B9C3C0"/>
          <w:right w:val="single" w:sz="4" w:space="0" w:color="B9C3C0"/>
          <w:insideH w:val="single" w:sz="4" w:space="0" w:color="B9C3C0"/>
          <w:insideV w:val="single" w:sz="4" w:space="0" w:color="B9C3C0"/>
        </w:tblBorders>
      </w:tblPr>
      <w:tblGrid>
        <w:gridCol w:w="750"/>
        <w:gridCol w:w="1050"/>
        <w:gridCol w:w="950"/>
        <w:gridCol w:w="850"/>
        <w:gridCol w:w="850"/>
        <w:gridCol w:w="900"/>
        <w:gridCol w:w="1850"/>
        <w:gridCol w:w="2160"/>
      </w:tblGrid>
      <w:tr>
        <w:trPr>
          <w:cantSplit/>
          <w:tblHeader w:val="true"/>
        </w:trPr>
        <w:tc>
          <w:tcPr>
            <w:tcW w:type="dxa" w:w="75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5"/>
              </w:rPr>
              <w:t>Luna</w:t>
            </w:r>
          </w:p>
        </w:tc>
        <w:tc>
          <w:tcPr>
            <w:tcW w:type="dxa" w:w="105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5"/>
              </w:rPr>
              <w:t>Cod deșeu</w:t>
            </w:r>
          </w:p>
        </w:tc>
        <w:tc>
          <w:tcPr>
            <w:tcW w:type="dxa" w:w="95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5"/>
              </w:rPr>
              <w:t>Stoc inițial</w:t>
            </w:r>
          </w:p>
        </w:tc>
        <w:tc>
          <w:tcPr>
            <w:tcW w:type="dxa" w:w="85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5"/>
              </w:rPr>
              <w:t>Generat</w:t>
            </w:r>
          </w:p>
        </w:tc>
        <w:tc>
          <w:tcPr>
            <w:tcW w:type="dxa" w:w="85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5"/>
              </w:rPr>
              <w:t>Predat</w:t>
            </w:r>
          </w:p>
        </w:tc>
        <w:tc>
          <w:tcPr>
            <w:tcW w:type="dxa" w:w="9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5"/>
              </w:rPr>
              <w:t>Stoc final</w:t>
            </w:r>
          </w:p>
        </w:tc>
        <w:tc>
          <w:tcPr>
            <w:tcW w:type="dxa" w:w="185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5"/>
              </w:rPr>
              <w:t>Operator / destinație</w:t>
            </w:r>
          </w:p>
        </w:tc>
        <w:tc>
          <w:tcPr>
            <w:tcW w:type="dxa" w:w="216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5"/>
              </w:rPr>
              <w:t>Documente verificate</w:t>
            </w:r>
          </w:p>
        </w:tc>
      </w:tr>
      <w:tr>
        <w:trPr>
          <w:cantSplit/>
        </w:trPr>
        <w:tc>
          <w:tcPr>
            <w:tcW w:type="dxa" w:w="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2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</w:tr>
      <w:tr>
        <w:trPr>
          <w:cantSplit/>
        </w:trPr>
        <w:tc>
          <w:tcPr>
            <w:tcW w:type="dxa" w:w="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2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</w:tr>
      <w:tr>
        <w:trPr>
          <w:cantSplit/>
        </w:trPr>
        <w:tc>
          <w:tcPr>
            <w:tcW w:type="dxa" w:w="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2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</w:tr>
      <w:tr>
        <w:trPr>
          <w:cantSplit/>
        </w:trPr>
        <w:tc>
          <w:tcPr>
            <w:tcW w:type="dxa" w:w="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2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</w:tr>
    </w:tbl>
    <w:p>
      <w:pPr>
        <w:spacing w:after="40"/>
      </w:pPr>
    </w:p>
    <w:p>
      <w:pPr>
        <w:keepLines/>
        <w:spacing w:before="80" w:after="120" w:line="288" w:lineRule="auto"/>
        <w:ind w:left="173" w:right="173"/>
        <w:shd w:fill="E7EDEB"/>
        <w:pBdr>
          <w:top w:val="single" w:sz="4" w:space="8" w:color="E7EDEB"/>
          <w:left w:val="single" w:sz="4" w:space="8" w:color="E7EDEB"/>
          <w:bottom w:val="single" w:sz="4" w:space="8" w:color="E7EDEB"/>
          <w:right w:val="single" w:sz="4" w:space="8" w:color="E7EDEB"/>
        </w:pBdr>
      </w:pPr>
      <w:r>
        <w:rPr>
          <w:rFonts w:ascii="Calibri" w:hAnsi="Calibri" w:eastAsia="Calibri"/>
          <w:b/>
          <w:color w:val="092F29"/>
          <w:sz w:val="17"/>
        </w:rPr>
        <w:t>CONTROL DE COERENȚĂ</w:t>
        <w:br/>
      </w:r>
      <w:r>
        <w:rPr>
          <w:rFonts w:ascii="Calibri" w:hAnsi="Calibri" w:eastAsia="Calibri"/>
          <w:color w:val="092F29"/>
          <w:sz w:val="21"/>
        </w:rPr>
        <w:t>Pentru fiecare cod: stoc inițial + generat - predat = stoc final. Orice diferență se explică și se documentează înainte de închiderea lunii.</w:t>
      </w:r>
    </w:p>
    <w:p>
      <w:pPr>
        <w:spacing w:after="20"/>
      </w:pPr>
    </w:p>
    <w:p>
      <w:pPr>
        <w:pStyle w:val="Heading1"/>
      </w:pPr>
      <w:r>
        <w:t>5. Registrul neconformităților și măsurilor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9C3C0"/>
          <w:left w:val="single" w:sz="4" w:space="0" w:color="B9C3C0"/>
          <w:bottom w:val="single" w:sz="4" w:space="0" w:color="B9C3C0"/>
          <w:right w:val="single" w:sz="4" w:space="0" w:color="B9C3C0"/>
          <w:insideH w:val="single" w:sz="4" w:space="0" w:color="B9C3C0"/>
          <w:insideV w:val="single" w:sz="4" w:space="0" w:color="B9C3C0"/>
        </w:tblBorders>
      </w:tblPr>
      <w:tblGrid>
        <w:gridCol w:w="600"/>
        <w:gridCol w:w="1100"/>
        <w:gridCol w:w="1800"/>
        <w:gridCol w:w="1700"/>
        <w:gridCol w:w="1100"/>
        <w:gridCol w:w="900"/>
        <w:gridCol w:w="1460"/>
        <w:gridCol w:w="700"/>
      </w:tblGrid>
      <w:tr>
        <w:trPr>
          <w:cantSplit/>
          <w:tblHeader w:val="true"/>
        </w:trPr>
        <w:tc>
          <w:tcPr>
            <w:tcW w:type="dxa" w:w="6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5"/>
              </w:rPr>
              <w:t>ID</w:t>
            </w:r>
          </w:p>
        </w:tc>
        <w:tc>
          <w:tcPr>
            <w:tcW w:type="dxa" w:w="11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5"/>
              </w:rPr>
              <w:t>Sursă / data</w:t>
            </w:r>
          </w:p>
        </w:tc>
        <w:tc>
          <w:tcPr>
            <w:tcW w:type="dxa" w:w="18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5"/>
              </w:rPr>
              <w:t>Constatare și risc</w:t>
            </w:r>
          </w:p>
        </w:tc>
        <w:tc>
          <w:tcPr>
            <w:tcW w:type="dxa" w:w="17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5"/>
              </w:rPr>
              <w:t>Măsură</w:t>
            </w:r>
          </w:p>
        </w:tc>
        <w:tc>
          <w:tcPr>
            <w:tcW w:type="dxa" w:w="11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5"/>
              </w:rPr>
              <w:t>Responsabil</w:t>
            </w:r>
          </w:p>
        </w:tc>
        <w:tc>
          <w:tcPr>
            <w:tcW w:type="dxa" w:w="9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5"/>
              </w:rPr>
              <w:t>Termen</w:t>
            </w:r>
          </w:p>
        </w:tc>
        <w:tc>
          <w:tcPr>
            <w:tcW w:type="dxa" w:w="146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5"/>
              </w:rPr>
              <w:t>Dovadă și verificare</w:t>
            </w:r>
          </w:p>
        </w:tc>
        <w:tc>
          <w:tcPr>
            <w:tcW w:type="dxa" w:w="7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5"/>
              </w:rPr>
              <w:t>Status</w:t>
            </w:r>
          </w:p>
        </w:tc>
      </w:tr>
      <w:tr>
        <w:trPr>
          <w:cantSplit/>
        </w:trPr>
        <w:tc>
          <w:tcPr>
            <w:tcW w:type="dxa" w:w="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  <w:t>M-01</w:t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4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</w:tr>
      <w:tr>
        <w:trPr>
          <w:cantSplit/>
        </w:trPr>
        <w:tc>
          <w:tcPr>
            <w:tcW w:type="dxa" w:w="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  <w:t>M-02</w:t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4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</w:tr>
      <w:tr>
        <w:trPr>
          <w:cantSplit/>
        </w:trPr>
        <w:tc>
          <w:tcPr>
            <w:tcW w:type="dxa" w:w="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  <w:t>M-03</w:t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4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</w:tr>
      <w:tr>
        <w:trPr>
          <w:cantSplit/>
        </w:trPr>
        <w:tc>
          <w:tcPr>
            <w:tcW w:type="dxa" w:w="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  <w:t>M-04</w:t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4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</w:tr>
    </w:tbl>
    <w:p>
      <w:pPr>
        <w:spacing w:after="40"/>
      </w:pPr>
    </w:p>
    <w:p>
      <w:pPr>
        <w:pStyle w:val="Heading1"/>
      </w:pPr>
      <w:r>
        <w:t>6. Raport lunar sintetic către management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9C3C0"/>
          <w:left w:val="single" w:sz="4" w:space="0" w:color="B9C3C0"/>
          <w:bottom w:val="single" w:sz="4" w:space="0" w:color="B9C3C0"/>
          <w:right w:val="single" w:sz="4" w:space="0" w:color="B9C3C0"/>
          <w:insideH w:val="single" w:sz="4" w:space="0" w:color="B9C3C0"/>
          <w:insideV w:val="single" w:sz="4" w:space="0" w:color="B9C3C0"/>
        </w:tblBorders>
      </w:tblPr>
      <w:tblGrid>
        <w:gridCol w:w="2400"/>
        <w:gridCol w:w="1300"/>
        <w:gridCol w:w="1300"/>
        <w:gridCol w:w="1300"/>
        <w:gridCol w:w="3060"/>
      </w:tblGrid>
      <w:tr>
        <w:trPr>
          <w:cantSplit/>
          <w:tblHeader w:val="true"/>
        </w:trPr>
        <w:tc>
          <w:tcPr>
            <w:tcW w:type="dxa" w:w="24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6"/>
              </w:rPr>
              <w:t>Indicator</w:t>
            </w:r>
          </w:p>
        </w:tc>
        <w:tc>
          <w:tcPr>
            <w:tcW w:type="dxa" w:w="13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6"/>
              </w:rPr>
              <w:t>Luna curentă</w:t>
            </w:r>
          </w:p>
        </w:tc>
        <w:tc>
          <w:tcPr>
            <w:tcW w:type="dxa" w:w="13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6"/>
              </w:rPr>
              <w:t>Luna anterioară</w:t>
            </w:r>
          </w:p>
        </w:tc>
        <w:tc>
          <w:tcPr>
            <w:tcW w:type="dxa" w:w="13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6"/>
              </w:rPr>
              <w:t>Țintă / limită</w:t>
            </w:r>
          </w:p>
        </w:tc>
        <w:tc>
          <w:tcPr>
            <w:tcW w:type="dxa" w:w="306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6"/>
              </w:rPr>
              <w:t>Explicație și decizie</w:t>
            </w:r>
          </w:p>
        </w:tc>
      </w:tr>
      <w:tr>
        <w:trPr>
          <w:cantSplit/>
        </w:trPr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Obligații scadente în 30 zile</w:t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  <w:tc>
          <w:tcPr>
            <w:tcW w:type="dxa" w:w="30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</w:tr>
      <w:tr>
        <w:trPr>
          <w:cantSplit/>
        </w:trPr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Termene depășite</w:t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0</w:t>
            </w:r>
          </w:p>
        </w:tc>
        <w:tc>
          <w:tcPr>
            <w:tcW w:type="dxa" w:w="30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</w:tr>
      <w:tr>
        <w:trPr>
          <w:cantSplit/>
        </w:trPr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Neconformități majore deschise</w:t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0</w:t>
            </w:r>
          </w:p>
        </w:tc>
        <w:tc>
          <w:tcPr>
            <w:tcW w:type="dxa" w:w="30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</w:tr>
      <w:tr>
        <w:trPr>
          <w:cantSplit/>
        </w:trPr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Incidente de mediu</w:t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0</w:t>
            </w:r>
          </w:p>
        </w:tc>
        <w:tc>
          <w:tcPr>
            <w:tcW w:type="dxa" w:w="30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</w:tr>
      <w:tr>
        <w:trPr>
          <w:cantSplit/>
        </w:trPr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Cantitate deșeu eliminat</w:t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[țintă]</w:t>
            </w:r>
          </w:p>
        </w:tc>
        <w:tc>
          <w:tcPr>
            <w:tcW w:type="dxa" w:w="30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</w:tr>
      <w:tr>
        <w:trPr>
          <w:cantSplit/>
        </w:trPr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Măsuri închise cu dovadă</w:t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100%</w:t>
            </w:r>
          </w:p>
        </w:tc>
        <w:tc>
          <w:tcPr>
            <w:tcW w:type="dxa" w:w="30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</w:tr>
    </w:tbl>
    <w:p>
      <w:pPr>
        <w:spacing w:after="40"/>
      </w:pPr>
    </w:p>
    <w:p>
      <w:pPr>
        <w:pStyle w:val="Heading1"/>
      </w:pPr>
      <w:r>
        <w:t>7. Reguli de administrare</w:t>
      </w:r>
    </w:p>
    <w:p>
      <w:pPr>
        <w:pStyle w:val="ListBullet"/>
      </w:pPr>
      <w:r>
        <w:rPr>
          <w:rFonts w:ascii="Calibri" w:hAnsi="Calibri" w:eastAsia="Calibri"/>
        </w:rPr>
        <w:t>Registrul are proprietar, înlocuitor, versiune și copie de siguranță.</w:t>
      </w:r>
    </w:p>
    <w:p>
      <w:pPr>
        <w:pStyle w:val="ListBullet"/>
      </w:pPr>
      <w:r>
        <w:rPr>
          <w:rFonts w:ascii="Calibri" w:hAnsi="Calibri" w:eastAsia="Calibri"/>
        </w:rPr>
        <w:t>Sursele se indică exact: act, articol, autorizație, contract, adresă, proces-verbal sau raport.</w:t>
      </w:r>
    </w:p>
    <w:p>
      <w:pPr>
        <w:pStyle w:val="ListBullet"/>
      </w:pPr>
      <w:r>
        <w:rPr>
          <w:rFonts w:ascii="Calibri" w:hAnsi="Calibri" w:eastAsia="Calibri"/>
        </w:rPr>
        <w:t>Termenele se introduc cu avertizare înainte de scadență și regulă de escaladare.</w:t>
      </w:r>
    </w:p>
    <w:p>
      <w:pPr>
        <w:pStyle w:val="ListBullet"/>
      </w:pPr>
      <w:r>
        <w:rPr>
          <w:rFonts w:ascii="Calibri" w:hAnsi="Calibri" w:eastAsia="Calibri"/>
        </w:rPr>
        <w:t>Statusul se modifică numai după verificarea dovezii.</w:t>
      </w:r>
    </w:p>
    <w:p>
      <w:pPr>
        <w:pStyle w:val="ListBullet"/>
      </w:pPr>
      <w:r>
        <w:rPr>
          <w:rFonts w:ascii="Calibri" w:hAnsi="Calibri" w:eastAsia="Calibri"/>
        </w:rPr>
        <w:t>Datele sensibile și accesul la documente se gestionează potrivit regulilor interne.</w:t>
      </w:r>
    </w:p>
    <w:p>
      <w:pPr>
        <w:pStyle w:val="Heading1"/>
      </w:pPr>
      <w:r>
        <w:t>Surse oficiale consultate</w:t>
      </w:r>
    </w:p>
    <w:p>
      <w:pPr>
        <w:keepLines w:val="0"/>
      </w:pPr>
      <w:r>
        <w:rPr>
          <w:rFonts w:ascii="Calibri" w:hAnsi="Calibri" w:eastAsia="Calibri"/>
          <w:i w:val="0"/>
        </w:rPr>
        <w:t>Verificare editorială: 25 august 2026. Pentru utilizare externă se consultă forma consolidată disponibilă la data folosirii documentului.</w:t>
      </w:r>
    </w:p>
    <w:p>
      <w:pPr>
        <w:pStyle w:val="ListBullet"/>
      </w:pPr>
      <w:hyperlink r:id="rId13">
        <w:r>
          <w:rPr>
            <w:rFonts w:ascii="Calibri" w:hAnsi="Calibri"/>
            <w:color w:val="092F29"/>
            <w:u w:val="single"/>
          </w:rPr>
          <w:t>OUG nr. 195/2005 privind protecția mediului - forma consolidată</w:t>
        </w:r>
      </w:hyperlink>
    </w:p>
    <w:p>
      <w:pPr>
        <w:pStyle w:val="ListBullet"/>
      </w:pPr>
      <w:hyperlink r:id="rId14">
        <w:r>
          <w:rPr>
            <w:rFonts w:ascii="Calibri" w:hAnsi="Calibri"/>
            <w:color w:val="092F29"/>
            <w:u w:val="single"/>
          </w:rPr>
          <w:t>OUG nr. 92/2021 privind regimul deșeurilor - forma consolidată</w:t>
        </w:r>
      </w:hyperlink>
    </w:p>
    <w:p>
      <w:pPr>
        <w:pStyle w:val="ListBullet"/>
      </w:pPr>
      <w:hyperlink r:id="rId15">
        <w:r>
          <w:rPr>
            <w:rFonts w:ascii="Calibri" w:hAnsi="Calibri"/>
            <w:color w:val="092F29"/>
            <w:u w:val="single"/>
          </w:rPr>
          <w:t>HG nr. 856/2002 privind evidența gestiunii deșeurilor și lista deșeurilor</w:t>
        </w:r>
      </w:hyperlink>
    </w:p>
    <w:p>
      <w:pPr>
        <w:pStyle w:val="ListBullet"/>
      </w:pPr>
      <w:hyperlink r:id="rId16">
        <w:r>
          <w:rPr>
            <w:rFonts w:ascii="Calibri" w:hAnsi="Calibri"/>
            <w:color w:val="092F29"/>
            <w:u w:val="single"/>
          </w:rPr>
          <w:t>Sistemul Integrat de Mediu - acces și raportare</w:t>
        </w:r>
      </w:hyperlink>
    </w:p>
    <w:p>
      <w:pPr>
        <w:keepLines/>
        <w:spacing w:before="80" w:after="120" w:line="288" w:lineRule="auto"/>
        <w:ind w:left="173" w:right="173"/>
        <w:shd w:fill="F3F0E7"/>
        <w:pBdr>
          <w:top w:val="single" w:sz="4" w:space="8" w:color="F3F0E7"/>
          <w:left w:val="single" w:sz="4" w:space="8" w:color="F3F0E7"/>
          <w:bottom w:val="single" w:sz="4" w:space="8" w:color="F3F0E7"/>
          <w:right w:val="single" w:sz="4" w:space="8" w:color="F3F0E7"/>
        </w:pBdr>
      </w:pPr>
      <w:r>
        <w:rPr>
          <w:rFonts w:ascii="Calibri" w:hAnsi="Calibri" w:eastAsia="Calibri"/>
          <w:b/>
          <w:color w:val="092F29"/>
          <w:sz w:val="17"/>
        </w:rPr>
        <w:t>NOTĂ DE APLICABILITATE</w:t>
        <w:br/>
      </w:r>
      <w:r>
        <w:rPr>
          <w:rFonts w:ascii="Calibri" w:hAnsi="Calibri" w:eastAsia="Calibri"/>
          <w:color w:val="092F29"/>
          <w:sz w:val="21"/>
        </w:rPr>
        <w:t>Registrul intern este un instrument de management. Registrele și raportările prevăzute de lege se completează în forma și sistemele oficiale aplicabile.</w:t>
      </w:r>
    </w:p>
    <w:p>
      <w:pPr>
        <w:spacing w:after="20"/>
      </w:pPr>
    </w:p>
    <w:p>
      <w:pPr>
        <w:pStyle w:val="Heading1"/>
        <w:spacing w:before="160" w:after="100"/>
      </w:pPr>
      <w:r>
        <w:t>Ai nevoie de varianta personalizată?</w:t>
      </w:r>
    </w:p>
    <w:p>
      <w:pPr>
        <w:keepLines/>
        <w:spacing w:before="80" w:after="0" w:line="288" w:lineRule="auto"/>
        <w:ind w:left="173" w:right="173"/>
        <w:shd w:fill="D5F33C"/>
        <w:pBdr>
          <w:top w:val="single" w:sz="4" w:space="8" w:color="D5F33C"/>
          <w:left w:val="single" w:sz="4" w:space="8" w:color="D5F33C"/>
          <w:bottom w:val="single" w:sz="4" w:space="8" w:color="D5F33C"/>
          <w:right w:val="single" w:sz="4" w:space="8" w:color="D5F33C"/>
        </w:pBdr>
      </w:pPr>
      <w:r>
        <w:rPr>
          <w:rFonts w:ascii="Calibri" w:hAnsi="Calibri" w:eastAsia="Calibri"/>
          <w:b/>
          <w:color w:val="092F29"/>
          <w:sz w:val="17"/>
        </w:rPr>
        <w:t>MEDIU LA PUNCT</w:t>
        <w:br/>
      </w:r>
      <w:r>
        <w:rPr>
          <w:rFonts w:ascii="Calibri" w:hAnsi="Calibri" w:eastAsia="Calibri"/>
          <w:color w:val="092F29"/>
          <w:sz w:val="21"/>
        </w:rPr>
        <w:t>Configurăm registrul pe puncte de lucru, obligații, autorizații, fluxuri, responsabilități și termene și îl putem integra într-un calendar de conformare administrat lunar. Detalii și servicii: mediulapunct.ro.</w:t>
      </w:r>
    </w:p>
    <w:sectPr w:rsidR="00FC693F" w:rsidRPr="0006063C" w:rsidSect="00034616">
      <w:headerReference w:type="default" r:id="rId9"/>
      <w:headerReference w:type="even" r:id="rId10"/>
      <w:footerReference w:type="default" r:id="rId11"/>
      <w:footerReference w:type="even" r:id="rId12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9360" w:val="right"/>
      </w:tabs>
      <w:spacing w:before="80"/>
      <w:pBdr>
        <w:bottom w:val="single" w:sz="4" w:space="4" w:color="B9C3C0"/>
      </w:pBdr>
    </w:pPr>
    <w:r>
      <w:rPr>
        <w:rFonts w:ascii="Calibri" w:hAnsi="Calibri" w:eastAsia="Calibri"/>
        <w:color w:val="66736E"/>
        <w:sz w:val="16"/>
      </w:rPr>
      <w:t>Mediu la Punct | mediulapunct.ro | Model orientativ</w:t>
    </w:r>
    <w:r>
      <w:tab/>
    </w:r>
    <w:r>
      <w:rPr>
        <w:rFonts w:ascii="Calibri" w:hAnsi="Calibri" w:eastAsia="Calibri"/>
        <w:color w:val="66736E"/>
        <w:sz w:val="16"/>
      </w:rPr>
      <w:t xml:space="preserve">Pagina </w:t>
    </w:r>
    <w:r>
      <w:rPr>
        <w:rFonts w:ascii="Calibri" w:hAnsi="Calibri" w:eastAsia="Calibri"/>
        <w:color w:val="66736E"/>
        <w:sz w:val="16"/>
      </w:rPr>
      <w:fldChar w:fldCharType="begin"/>
      <w:instrText xml:space="preserve">PAGE</w:instrText>
      <w:fldChar w:fldCharType="separate"/>
      <w:t>1</w: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9360" w:val="right"/>
      </w:tabs>
      <w:spacing w:before="80"/>
      <w:pBdr>
        <w:bottom w:val="single" w:sz="4" w:space="4" w:color="B9C3C0"/>
      </w:pBdr>
    </w:pPr>
    <w:r>
      <w:rPr>
        <w:rFonts w:ascii="Calibri" w:hAnsi="Calibri" w:eastAsia="Calibri"/>
        <w:color w:val="66736E"/>
        <w:sz w:val="16"/>
      </w:rPr>
      <w:t>Mediu la Punct | mediulapunct.ro | Model orientativ</w:t>
    </w:r>
    <w:r>
      <w:tab/>
    </w:r>
    <w:r>
      <w:rPr>
        <w:rFonts w:ascii="Calibri" w:hAnsi="Calibri" w:eastAsia="Calibri"/>
        <w:color w:val="66736E"/>
        <w:sz w:val="16"/>
      </w:rPr>
      <w:t xml:space="preserve">Pagina </w:t>
    </w:r>
    <w:r>
      <w:rPr>
        <w:rFonts w:ascii="Calibri" w:hAnsi="Calibri" w:eastAsia="Calibri"/>
        <w:color w:val="66736E"/>
        <w:sz w:val="16"/>
      </w:rPr>
      <w:fldChar w:fldCharType="begin"/>
      <w:instrText xml:space="preserve">PAGE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9360" w:val="right"/>
      </w:tabs>
      <w:spacing w:after="60"/>
      <w:pBdr>
        <w:bottom w:val="single" w:sz="4" w:space="4" w:color="B9C3C0"/>
      </w:pBdr>
    </w:pPr>
    <w:r>
      <w:drawing>
        <wp:inline xmlns:a="http://schemas.openxmlformats.org/drawingml/2006/main" xmlns:pic="http://schemas.openxmlformats.org/drawingml/2006/picture">
          <wp:extent cx="1874519" cy="345233"/>
          <wp:docPr id="1" name="Picture 1" descr="Sigla Mediu la Punct" title="Mediu la Punct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logo-mediu-la-punc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4519" cy="345233"/>
                  </a:xfrm>
                  <a:prstGeom prst="rect"/>
                </pic:spPr>
              </pic:pic>
            </a:graphicData>
          </a:graphic>
        </wp:inline>
      </w:drawing>
    </w:r>
    <w:r>
      <w:tab/>
    </w:r>
    <w:r>
      <w:rPr>
        <w:rFonts w:ascii="Calibri" w:hAnsi="Calibri" w:eastAsia="Calibri"/>
        <w:b/>
        <w:color w:val="66736E"/>
        <w:sz w:val="16"/>
      </w:rPr>
      <w:t>INSTRUMENT PRACTIC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9360" w:val="right"/>
      </w:tabs>
      <w:spacing w:after="60"/>
      <w:pBdr>
        <w:bottom w:val="single" w:sz="4" w:space="4" w:color="B9C3C0"/>
      </w:pBdr>
    </w:pPr>
    <w:r>
      <w:drawing>
        <wp:inline xmlns:a="http://schemas.openxmlformats.org/drawingml/2006/main" xmlns:pic="http://schemas.openxmlformats.org/drawingml/2006/picture">
          <wp:extent cx="1874519" cy="345233"/>
          <wp:docPr id="1" name="Picture 1" descr="Sigla Mediu la Punct" title="Mediu la Punct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logo-mediu-la-punc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4519" cy="345233"/>
                  </a:xfrm>
                  <a:prstGeom prst="rect"/>
                </pic:spPr>
              </pic:pic>
            </a:graphicData>
          </a:graphic>
        </wp:inline>
      </w:drawing>
    </w:r>
    <w:r>
      <w:tab/>
    </w:r>
    <w:r>
      <w:rPr>
        <w:rFonts w:ascii="Calibri" w:hAnsi="Calibri" w:eastAsia="Calibri"/>
        <w:b/>
        <w:color w:val="66736E"/>
        <w:sz w:val="16"/>
      </w:rPr>
      <w:t>INSTRUMENT PRACTIC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092F29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092F29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092F2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66736E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yperlink" Target="https://legislatie.just.ro/Public/DetaliiDocument/67634" TargetMode="External"/><Relationship Id="rId14" Type="http://schemas.openxmlformats.org/officeDocument/2006/relationships/hyperlink" Target="https://legislatie.just.ro/Public/DetaliiDocument/245846" TargetMode="External"/><Relationship Id="rId15" Type="http://schemas.openxmlformats.org/officeDocument/2006/relationships/hyperlink" Target="https://legislatie.just.ro/Public/DetaliiDocument/38294" TargetMode="External"/><Relationship Id="rId16" Type="http://schemas.openxmlformats.org/officeDocument/2006/relationships/hyperlink" Target="https://raportare.anpm.ro/" TargetMode="Externa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de registru intern pentru obligații și documente de mediu</dc:title>
  <dc:subject>Instrument practic orientativ de conformare de mediu</dc:subject>
  <dc:creator>Mediu la Punct</dc:creator>
  <cp:keywords>mediu, deșeuri, conformare, model orientativ</cp:keywords>
  <dc:description>Actualizat la 25 august 2026.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