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Calibri" w:hAnsi="Calibri" w:eastAsia="Calibri"/>
          <w:b/>
          <w:caps/>
          <w:color w:val="66736E"/>
          <w:sz w:val="18"/>
        </w:rPr>
        <w:t>INSTRUMENT DE VERIFICARE</w:t>
      </w:r>
    </w:p>
    <w:p>
      <w:pPr>
        <w:keepNext/>
        <w:spacing w:before="0" w:after="200"/>
      </w:pPr>
      <w:r>
        <w:rPr>
          <w:rFonts w:ascii="Calibri" w:hAnsi="Calibri" w:eastAsia="Calibri"/>
          <w:b/>
          <w:color w:val="092F29"/>
          <w:sz w:val="56"/>
        </w:rPr>
        <w:t>Fișă de audit intern de mediu</w:t>
      </w:r>
    </w:p>
    <w:p>
      <w:pPr>
        <w:spacing w:before="0" w:after="360" w:line="288" w:lineRule="auto"/>
      </w:pPr>
      <w:r>
        <w:rPr>
          <w:rFonts w:ascii="Calibri" w:hAnsi="Calibri" w:eastAsia="Calibri"/>
          <w:color w:val="66736E"/>
          <w:sz w:val="25"/>
        </w:rPr>
        <w:t>Structurează auditul pe criteriu, dovadă, constatare, risc, cauză și acțiune corectivă.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75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Informație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Destinat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Firme și instituții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Format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Model editabil Word și versiune PDF pentru consultare/print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Actualizare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25 august 2026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Statut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Instrument orientativ. Necesită verificare și adaptare înainte de utilizare externă.</w:t>
            </w:r>
          </w:p>
        </w:tc>
      </w:tr>
    </w:tbl>
    <w:p>
      <w:pPr>
        <w:spacing w:after="40"/>
      </w:pPr>
    </w:p>
    <w:p>
      <w:pPr>
        <w:pStyle w:val="Heading1"/>
      </w:pPr>
      <w:r>
        <w:t>1. Scopul și utilizarea documentului</w:t>
      </w: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SCOP</w:t>
        <w:br/>
      </w:r>
      <w:r>
        <w:rPr>
          <w:rFonts w:ascii="Calibri" w:hAnsi="Calibri" w:eastAsia="Calibri"/>
          <w:color w:val="092F29"/>
          <w:sz w:val="21"/>
        </w:rPr>
        <w:t>Fișa oferă o metodă reproductibilă de audit intern. Nu este, prin simpla completare, un audit de deșeuri în sensul art. 44 din OUG nr. 92/2021 și nu substituie competența auditorului sau analiza tehnică.</w:t>
      </w:r>
    </w:p>
    <w:p>
      <w:pPr>
        <w:spacing w:after="20"/>
      </w:pPr>
    </w:p>
    <w:p>
      <w:pPr>
        <w:pStyle w:val="Heading2"/>
      </w:pPr>
      <w:r>
        <w:t>Când este util</w:t>
      </w:r>
    </w:p>
    <w:p>
      <w:pPr>
        <w:pStyle w:val="ListBullet"/>
      </w:pPr>
      <w:r>
        <w:rPr>
          <w:rFonts w:ascii="Calibri" w:hAnsi="Calibri" w:eastAsia="Calibri"/>
        </w:rPr>
        <w:t>Audit periodic al unui punct de lucru.</w:t>
      </w:r>
    </w:p>
    <w:p>
      <w:pPr>
        <w:pStyle w:val="ListBullet"/>
      </w:pPr>
      <w:r>
        <w:rPr>
          <w:rFonts w:ascii="Calibri" w:hAnsi="Calibri" w:eastAsia="Calibri"/>
        </w:rPr>
        <w:t>Verificare înainte de control.</w:t>
      </w:r>
    </w:p>
    <w:p>
      <w:pPr>
        <w:pStyle w:val="ListBullet"/>
      </w:pPr>
      <w:r>
        <w:rPr>
          <w:rFonts w:ascii="Calibri" w:hAnsi="Calibri" w:eastAsia="Calibri"/>
        </w:rPr>
        <w:t>Evaluarea implementării unei proceduri sau a unui contract.</w:t>
      </w:r>
    </w:p>
    <w:p>
      <w:pPr>
        <w:pStyle w:val="ListBullet"/>
      </w:pPr>
      <w:r>
        <w:rPr>
          <w:rFonts w:ascii="Calibri" w:hAnsi="Calibri" w:eastAsia="Calibri"/>
        </w:rPr>
        <w:t>Urmărirea măsurilor după incident, control ori audit anterior.</w:t>
      </w:r>
    </w:p>
    <w:p>
      <w:pPr>
        <w:pStyle w:val="Heading2"/>
      </w:pPr>
      <w:r>
        <w:t>Cum se folosește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Definește obiectivul, domeniul și criteriile înainte de vizită.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Selectează eșantionul de documente și zone fără a omite fluxurile cu risc.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Notează fapta și dovada exactă; separă constatarea de opinie.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Clasifică riscul și stabilește o acțiune care tratează cauza, nu doar efectul.</w:t>
      </w:r>
    </w:p>
    <w:p>
      <w:pPr>
        <w:pStyle w:val="ListNumber"/>
        <w:keepNext w:val="0"/>
        <w:numPr>
          <w:ilvl w:val="0"/>
          <w:numId w:val="10"/>
        </w:numPr>
      </w:pPr>
      <w:r>
        <w:rPr>
          <w:rFonts w:ascii="Calibri" w:hAnsi="Calibri" w:eastAsia="Calibri"/>
        </w:rPr>
        <w:t>Verifică eficacitatea după termen și închide măsura numai pe bază de dovadă.</w:t>
      </w:r>
    </w:p>
    <w:p>
      <w:pPr>
        <w:pStyle w:val="Heading1"/>
      </w:pPr>
      <w:r>
        <w:t>2. Datele auditului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2300"/>
        <w:gridCol w:w="7060"/>
      </w:tblGrid>
      <w:tr>
        <w:trPr>
          <w:cantSplit/>
          <w:tblHeader w:val="true"/>
        </w:trPr>
        <w:tc>
          <w:tcPr>
            <w:tcW w:type="dxa" w:w="2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0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Completare</w:t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Organizație / punct de lucru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Data și intervalul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Obiectiv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Domeniu / activități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Criterii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acte normative, autorizații, proceduri, contracte, măsuri</w:t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Echipa de audit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Reprezentanți intervievați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Eșantion documentar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3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Zone inspectate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3. Scala constatărilor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900"/>
        <w:gridCol w:w="2200"/>
        <w:gridCol w:w="6260"/>
      </w:tblGrid>
      <w:tr>
        <w:trPr>
          <w:cantSplit/>
          <w:tblHeader w:val="true"/>
        </w:trPr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Cod</w:t>
            </w:r>
          </w:p>
        </w:tc>
        <w:tc>
          <w:tcPr>
            <w:tcW w:type="dxa" w:w="2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Încadrare</w:t>
            </w:r>
          </w:p>
        </w:tc>
        <w:tc>
          <w:tcPr>
            <w:tcW w:type="dxa" w:w="62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Criteriu orientativ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C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Conform</w:t>
            </w:r>
          </w:p>
        </w:tc>
        <w:tc>
          <w:tcPr>
            <w:tcW w:type="dxa" w:w="6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Cerința este îndeplinită și există dovadă adecvată.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OP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Oportunitate de îmbunătățire</w:t>
            </w:r>
          </w:p>
        </w:tc>
        <w:tc>
          <w:tcPr>
            <w:tcW w:type="dxa" w:w="6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Nu există neconformitate demonstrată, dar controlul poate fi întărit.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NC-min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Neconformitate minoră</w:t>
            </w:r>
          </w:p>
        </w:tc>
        <w:tc>
          <w:tcPr>
            <w:tcW w:type="dxa" w:w="6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Deficiență limitată, fără consecință imediată majoră, care necesită corecție.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NC-maj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Neconformitate majoră</w:t>
            </w:r>
          </w:p>
        </w:tc>
        <w:tc>
          <w:tcPr>
            <w:tcW w:type="dxa" w:w="6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Lipsă sistemică, încălcare relevantă, risc ridicat ori repetare a unei deficiențe.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N/A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Neaplicabil</w:t>
            </w:r>
          </w:p>
        </w:tc>
        <w:tc>
          <w:tcPr>
            <w:tcW w:type="dxa" w:w="6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Inaplicabilitatea este justificată și documentată.</w:t>
            </w:r>
          </w:p>
        </w:tc>
      </w:tr>
    </w:tbl>
    <w:p>
      <w:pPr>
        <w:spacing w:after="40"/>
      </w:pPr>
    </w:p>
    <w:p>
      <w:pPr>
        <w:pStyle w:val="Heading1"/>
      </w:pPr>
      <w:r>
        <w:t>4. Grila de audit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2850"/>
        <w:gridCol w:w="2200"/>
        <w:gridCol w:w="2400"/>
        <w:gridCol w:w="650"/>
        <w:gridCol w:w="76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Nr.</w:t>
            </w:r>
          </w:p>
        </w:tc>
        <w:tc>
          <w:tcPr>
            <w:tcW w:type="dxa" w:w="28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Criteriu</w:t>
            </w:r>
          </w:p>
        </w:tc>
        <w:tc>
          <w:tcPr>
            <w:tcW w:type="dxa" w:w="2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Dovezi examinate</w:t>
            </w:r>
          </w:p>
        </w:tc>
        <w:tc>
          <w:tcPr>
            <w:tcW w:type="dxa" w:w="24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Constatare</w:t>
            </w:r>
          </w:p>
        </w:tc>
        <w:tc>
          <w:tcPr>
            <w:tcW w:type="dxa" w:w="6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Cod</w:t>
            </w:r>
          </w:p>
        </w:tc>
        <w:tc>
          <w:tcPr>
            <w:tcW w:type="dxa" w:w="7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Risc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1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Actele de reglementare corespund activității și modificărilor reale.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autorizații, notificări, planuri, interviu, teren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2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Condițiile și termenele sunt transpuse în responsabilități și evidențe.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calendar, rapoarte, dovezi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3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Sursele de generare și codurile deșeurilor sunt identificate și justificate.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inventar, notă de codificare, analize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4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Colectarea separată și stocarea funcționează în teren.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inspecție, fotografii, etichete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5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Operatorii și destinațiile sunt verificate pentru operațiile relevante.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autorizații, contracte, fișe de verificare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6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Documentele de predare și transport sunt complete și reconciliate.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avize, formulare, tichete, facturi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7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Evidența cronologică lunară este completă și corelată cu stocul.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registru, balanță lunară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8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Raportările sunt validate, depuse la termen și arhivate.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confirmări și fișiere sursă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9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Obligațiile AFM sunt analizate și bazele de calcul sunt controlate.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analiză, declarații, reconciliere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10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Monitorizările pentru apă, aer, zgomot, sol sau emisii respectă condițiile aplicabile.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buletine și rapoarte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11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Incidentele au circuit de notificare, analiză și acțiuni corective.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registru incidente, proceduri, probe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12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Măsurile anterioare sunt închise și eficacitatea este verificată.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planuri și dovezi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5. Evaluarea riscului</w:t>
      </w:r>
    </w:p>
    <w:p>
      <w:pPr>
        <w:keepLines w:val="0"/>
      </w:pPr>
      <w:r>
        <w:rPr>
          <w:rFonts w:ascii="Calibri" w:hAnsi="Calibri" w:eastAsia="Calibri"/>
          <w:i w:val="0"/>
        </w:rPr>
        <w:t>Scor orientativ = probabilitate (1-4) x impact (1-4). Matricea internă trebuie corelată cu activitatea și toleranța la risc a organizației.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200"/>
        <w:gridCol w:w="1700"/>
        <w:gridCol w:w="6460"/>
      </w:tblGrid>
      <w:tr>
        <w:trPr>
          <w:cantSplit/>
          <w:tblHeader w:val="true"/>
        </w:trPr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Scor</w:t>
            </w:r>
          </w:p>
        </w:tc>
        <w:tc>
          <w:tcPr>
            <w:tcW w:type="dxa" w:w="1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Nivel</w:t>
            </w:r>
          </w:p>
        </w:tc>
        <w:tc>
          <w:tcPr>
            <w:tcW w:type="dxa" w:w="64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Răspuns orientativ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1-3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Scăzut</w:t>
            </w:r>
          </w:p>
        </w:tc>
        <w:tc>
          <w:tcPr>
            <w:tcW w:type="dxa" w:w="6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Corecție planificată și monitorizare.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4-7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Mediu</w:t>
            </w:r>
          </w:p>
        </w:tc>
        <w:tc>
          <w:tcPr>
            <w:tcW w:type="dxa" w:w="6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Măsură cu termen scurt și verificare de responsabil.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8-11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Ridicat</w:t>
            </w:r>
          </w:p>
        </w:tc>
        <w:tc>
          <w:tcPr>
            <w:tcW w:type="dxa" w:w="6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Escaladare la conducere și control intermediar.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12-16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Critic</w:t>
            </w:r>
          </w:p>
        </w:tc>
        <w:tc>
          <w:tcPr>
            <w:tcW w:type="dxa" w:w="6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Acțiune imediată; se analizează oprirea operațiunii și notificarea, după caz.</w:t>
            </w:r>
          </w:p>
        </w:tc>
      </w:tr>
    </w:tbl>
    <w:p>
      <w:pPr>
        <w:spacing w:after="40"/>
      </w:pPr>
    </w:p>
    <w:p>
      <w:pPr>
        <w:pStyle w:val="Heading1"/>
      </w:pPr>
      <w:r>
        <w:t>6. Planul acțiunilor corective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50"/>
        <w:gridCol w:w="1500"/>
        <w:gridCol w:w="1700"/>
        <w:gridCol w:w="1100"/>
        <w:gridCol w:w="900"/>
        <w:gridCol w:w="1200"/>
        <w:gridCol w:w="1600"/>
        <w:gridCol w:w="810"/>
      </w:tblGrid>
      <w:tr>
        <w:trPr>
          <w:cantSplit/>
          <w:tblHeader w:val="true"/>
        </w:trPr>
        <w:tc>
          <w:tcPr>
            <w:tcW w:type="dxa" w:w="5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ID</w:t>
            </w:r>
          </w:p>
        </w:tc>
        <w:tc>
          <w:tcPr>
            <w:tcW w:type="dxa" w:w="1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Constatare / cauză</w:t>
            </w:r>
          </w:p>
        </w:tc>
        <w:tc>
          <w:tcPr>
            <w:tcW w:type="dxa" w:w="1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Acțiune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Responsabil</w:t>
            </w:r>
          </w:p>
        </w:tc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Termen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Dovadă</w:t>
            </w:r>
          </w:p>
        </w:tc>
        <w:tc>
          <w:tcPr>
            <w:tcW w:type="dxa" w:w="1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Verificare eficacitate</w:t>
            </w:r>
          </w:p>
        </w:tc>
        <w:tc>
          <w:tcPr>
            <w:tcW w:type="dxa" w:w="81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Status</w:t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A-01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A-02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A-03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</w:tr>
      <w:tr>
        <w:trPr>
          <w:cantSplit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A-04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7. Concluzia auditului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Element</w:t>
            </w:r>
          </w:p>
        </w:tc>
        <w:tc>
          <w:tcPr>
            <w:tcW w:type="dxa" w:w="66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Concluzie</w:t>
            </w:r>
          </w:p>
        </w:tc>
      </w:tr>
      <w:tr>
        <w:trPr>
          <w:cantSplit/>
        </w:trPr>
        <w:tc>
          <w:tcPr>
            <w:tcW w:type="dxa" w:w="27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Puncte conforme relevante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7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Neconformități majore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7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Riscuri care necesită decizia conducerii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7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Termen pentru verificarea măsurilor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7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Auditor / reprezentant auditat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nume, semnătură, data</w:t>
            </w:r>
          </w:p>
        </w:tc>
      </w:tr>
    </w:tbl>
    <w:p>
      <w:pPr>
        <w:spacing w:after="40"/>
      </w:pPr>
    </w:p>
    <w:p>
      <w:pPr>
        <w:pStyle w:val="Heading1"/>
      </w:pPr>
      <w:r>
        <w:t>Surse oficiale consultate</w:t>
      </w:r>
    </w:p>
    <w:p>
      <w:pPr>
        <w:keepLines w:val="0"/>
      </w:pPr>
      <w:r>
        <w:rPr>
          <w:rFonts w:ascii="Calibri" w:hAnsi="Calibri" w:eastAsia="Calibri"/>
          <w:i w:val="0"/>
        </w:rPr>
        <w:t>Verificare editorială: 25 august 2026. Pentru utilizare externă se consultă forma consolidată disponibilă la data folosirii documentului.</w:t>
      </w:r>
    </w:p>
    <w:p>
      <w:pPr>
        <w:pStyle w:val="ListBullet"/>
      </w:pPr>
      <w:hyperlink r:id="rId13">
        <w:r>
          <w:rPr>
            <w:rFonts w:ascii="Calibri" w:hAnsi="Calibri"/>
            <w:color w:val="092F29"/>
            <w:u w:val="single"/>
          </w:rPr>
          <w:t>OUG nr. 195/2005 privind protecția mediului - forma consolidată</w:t>
        </w:r>
      </w:hyperlink>
    </w:p>
    <w:p>
      <w:pPr>
        <w:pStyle w:val="ListBullet"/>
      </w:pPr>
      <w:hyperlink r:id="rId14">
        <w:r>
          <w:rPr>
            <w:rFonts w:ascii="Calibri" w:hAnsi="Calibri"/>
            <w:color w:val="092F29"/>
            <w:u w:val="single"/>
          </w:rPr>
          <w:t>OUG nr. 92/2021 privind regimul deșeurilor - forma consolidată</w:t>
        </w:r>
      </w:hyperlink>
    </w:p>
    <w:p>
      <w:pPr>
        <w:pStyle w:val="ListBullet"/>
      </w:pPr>
      <w:hyperlink r:id="rId15">
        <w:r>
          <w:rPr>
            <w:rFonts w:ascii="Calibri" w:hAnsi="Calibri"/>
            <w:color w:val="092F29"/>
            <w:u w:val="single"/>
          </w:rPr>
          <w:t>HG nr. 856/2002 privind evidența gestiunii deșeurilor și lista deșeurilor</w:t>
        </w:r>
      </w:hyperlink>
    </w:p>
    <w:p>
      <w:pPr>
        <w:pStyle w:val="ListBullet"/>
      </w:pPr>
      <w:hyperlink r:id="rId16">
        <w:r>
          <w:rPr>
            <w:rFonts w:ascii="Calibri" w:hAnsi="Calibri"/>
            <w:color w:val="092F29"/>
            <w:u w:val="single"/>
          </w:rPr>
          <w:t>Garda Națională de Mediu - comunicat privind neconformitățile constatate în controalele din august 2026</w:t>
        </w:r>
      </w:hyperlink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NOTĂ DE APLICABILITATE</w:t>
        <w:br/>
      </w:r>
      <w:r>
        <w:rPr>
          <w:rFonts w:ascii="Calibri" w:hAnsi="Calibri" w:eastAsia="Calibri"/>
          <w:color w:val="092F29"/>
          <w:sz w:val="21"/>
        </w:rPr>
        <w:t>Criteriile se selectează din obligațiile aplicabile, actele de reglementare, proceduri și contracte. Grila este un eșantion, nu o listă exhaustivă.</w:t>
      </w:r>
    </w:p>
    <w:p>
      <w:pPr>
        <w:spacing w:after="20"/>
      </w:pPr>
    </w:p>
    <w:p>
      <w:pPr>
        <w:pStyle w:val="Heading1"/>
        <w:spacing w:before="160" w:after="100"/>
      </w:pPr>
      <w:r>
        <w:t>Ai nevoie de varianta personalizată?</w:t>
      </w:r>
    </w:p>
    <w:p>
      <w:pPr>
        <w:keepLines/>
        <w:spacing w:before="80" w:after="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MEDIU LA PUNCT</w:t>
        <w:br/>
      </w:r>
      <w:r>
        <w:rPr>
          <w:rFonts w:ascii="Calibri" w:hAnsi="Calibri" w:eastAsia="Calibri"/>
          <w:color w:val="092F29"/>
          <w:sz w:val="21"/>
        </w:rPr>
        <w:t>Efectuăm auditul documentar și în teren, formulăm constatările cu sursă, evaluăm riscul și livrăm planul de remediere și verificarea închiderii. Detalii și servicii: mediulapunct.ro.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224" w:right="1440" w:bottom="1224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92F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92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92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6673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legislatie.just.ro/Public/DetaliiDocument/67634" TargetMode="External"/><Relationship Id="rId14" Type="http://schemas.openxmlformats.org/officeDocument/2006/relationships/hyperlink" Target="https://legislatie.just.ro/Public/DetaliiDocument/245846" TargetMode="External"/><Relationship Id="rId15" Type="http://schemas.openxmlformats.org/officeDocument/2006/relationships/hyperlink" Target="https://legislatie.just.ro/Public/DetaliiDocument/38294" TargetMode="External"/><Relationship Id="rId16" Type="http://schemas.openxmlformats.org/officeDocument/2006/relationships/hyperlink" Target="https://www.gnm.ro/433-milioane-de-lei-in-amenzi-si-24-de-activitati-suspendate-in-7-zile-de-verificari-ale-garzii-nationale-de-mediu-pe-litoral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Fișă de audit intern de mediu</dc:title>
  <dc:subject>Instrument practic orientativ de conformare de mediu</dc:subject>
  <dc:creator>Mediu la Punct</dc:creator>
  <cp:keywords>mediu, deșeuri, conformare, model orientativ</cp:keywords>
  <dc:description>Actualizat la 25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