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40" w:after="160"/>
      </w:pPr>
      <w:r>
        <w:rPr>
          <w:rFonts w:ascii="Calibri" w:hAnsi="Calibri" w:eastAsia="Calibri"/>
          <w:b/>
          <w:caps/>
          <w:color w:val="66736E"/>
          <w:sz w:val="18"/>
        </w:rPr>
        <w:t>GHID PRACTIC</w:t>
      </w:r>
    </w:p>
    <w:p>
      <w:pPr>
        <w:keepNext/>
        <w:spacing w:before="0" w:after="200"/>
      </w:pPr>
      <w:r>
        <w:rPr>
          <w:rFonts w:ascii="Calibri" w:hAnsi="Calibri" w:eastAsia="Calibri"/>
          <w:b/>
          <w:color w:val="092F29"/>
          <w:sz w:val="56"/>
        </w:rPr>
        <w:t>Ghid practic pentru pregătirea unui control al Gărzii Naționale de Mediu</w:t>
      </w:r>
    </w:p>
    <w:p>
      <w:pPr>
        <w:spacing w:before="0" w:after="360" w:line="288" w:lineRule="auto"/>
      </w:pPr>
      <w:r>
        <w:rPr>
          <w:rFonts w:ascii="Calibri" w:hAnsi="Calibri" w:eastAsia="Calibri"/>
          <w:color w:val="66736E"/>
          <w:sz w:val="25"/>
        </w:rPr>
        <w:t>Organizează pregătirea, desfășurarea și urmărirea controlului, cu accent pe documente, fapte și măsuri verificabile.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800"/>
        <w:gridCol w:w="7560"/>
      </w:tblGrid>
      <w:tr>
        <w:trPr>
          <w:cantSplit/>
          <w:tblHeader w:val="true"/>
        </w:trPr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Câmp</w:t>
            </w:r>
          </w:p>
        </w:tc>
        <w:tc>
          <w:tcPr>
            <w:tcW w:type="dxa" w:w="7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Informație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Destinat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Firme și instituții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Format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Model editabil Word și versiune PDF pentru consultare/print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Actualizare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25 august 2026</w:t>
            </w:r>
          </w:p>
        </w:tc>
      </w:tr>
      <w:tr>
        <w:trPr>
          <w:cantSplit/>
        </w:trPr>
        <w:tc>
          <w:tcPr>
            <w:tcW w:type="dxa" w:w="1800"/>
            <w:shd w:fill="E7EDEB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8"/>
              </w:rPr>
              <w:t>Statut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8"/>
              </w:rPr>
              <w:t>Instrument orientativ. Necesită verificare și adaptare înainte de utilizare externă.</w:t>
            </w:r>
          </w:p>
        </w:tc>
      </w:tr>
    </w:tbl>
    <w:p>
      <w:pPr>
        <w:spacing w:after="40"/>
      </w:pPr>
    </w:p>
    <w:p>
      <w:pPr>
        <w:pStyle w:val="Heading1"/>
      </w:pPr>
      <w:r>
        <w:t>1. Scopul și utilizarea documentului</w:t>
      </w:r>
    </w:p>
    <w:p>
      <w:pPr>
        <w:keepLines/>
        <w:spacing w:before="80" w:after="120" w:line="288" w:lineRule="auto"/>
        <w:ind w:left="173" w:right="173"/>
        <w:shd w:fill="E7EDEB"/>
        <w:pBdr>
          <w:top w:val="single" w:sz="4" w:space="8" w:color="E7EDEB"/>
          <w:left w:val="single" w:sz="4" w:space="8" w:color="E7EDEB"/>
          <w:bottom w:val="single" w:sz="4" w:space="8" w:color="E7EDEB"/>
          <w:right w:val="single" w:sz="4" w:space="8" w:color="E7EDEB"/>
        </w:pBdr>
      </w:pPr>
      <w:r>
        <w:rPr>
          <w:rFonts w:ascii="Calibri" w:hAnsi="Calibri" w:eastAsia="Calibri"/>
          <w:b/>
          <w:color w:val="092F29"/>
          <w:sz w:val="17"/>
        </w:rPr>
        <w:t>SCOP</w:t>
        <w:br/>
      </w:r>
      <w:r>
        <w:rPr>
          <w:rFonts w:ascii="Calibri" w:hAnsi="Calibri" w:eastAsia="Calibri"/>
          <w:color w:val="092F29"/>
          <w:sz w:val="21"/>
        </w:rPr>
        <w:t>Ghidul este un instrument operațional. Nu garantează lipsa constatărilor, nu recomandă ascunderea informațiilor și nu înlocuiește asistența tehnică sau juridică pentru situații litigioase ori sancțiuni.</w:t>
      </w:r>
    </w:p>
    <w:p>
      <w:pPr>
        <w:spacing w:after="20"/>
      </w:pPr>
    </w:p>
    <w:p>
      <w:pPr>
        <w:pStyle w:val="Heading2"/>
      </w:pPr>
      <w:r>
        <w:t>Când este util</w:t>
      </w:r>
    </w:p>
    <w:p>
      <w:pPr>
        <w:pStyle w:val="ListBullet"/>
      </w:pPr>
      <w:r>
        <w:rPr>
          <w:rFonts w:ascii="Calibri" w:hAnsi="Calibri" w:eastAsia="Calibri"/>
        </w:rPr>
        <w:t>Control anunțat, tematic sau de verificare a unei sesizări.</w:t>
      </w:r>
    </w:p>
    <w:p>
      <w:pPr>
        <w:pStyle w:val="ListBullet"/>
      </w:pPr>
      <w:r>
        <w:rPr>
          <w:rFonts w:ascii="Calibri" w:hAnsi="Calibri" w:eastAsia="Calibri"/>
        </w:rPr>
        <w:t>Autoevaluare preventivă.</w:t>
      </w:r>
    </w:p>
    <w:p>
      <w:pPr>
        <w:pStyle w:val="ListBullet"/>
      </w:pPr>
      <w:r>
        <w:rPr>
          <w:rFonts w:ascii="Calibri" w:hAnsi="Calibri" w:eastAsia="Calibri"/>
        </w:rPr>
        <w:t>Pregătirea unui punct de lucru nou preluat.</w:t>
      </w:r>
    </w:p>
    <w:p>
      <w:pPr>
        <w:pStyle w:val="ListBullet"/>
      </w:pPr>
      <w:r>
        <w:rPr>
          <w:rFonts w:ascii="Calibri" w:hAnsi="Calibri" w:eastAsia="Calibri"/>
        </w:rPr>
        <w:t>Urmărirea măsurilor dispuse la un control anterior.</w:t>
      </w:r>
    </w:p>
    <w:p>
      <w:pPr>
        <w:pStyle w:val="Heading2"/>
      </w:pPr>
      <w:r>
        <w:t>Cum se folosește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Nominalizează un coordonator și un înlocuitor.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Pregătește un dosar indexat și verifică situația din teren.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Înregistrează cronologic solicitările și documentele puse la dispoziție.</w:t>
      </w:r>
    </w:p>
    <w:p>
      <w:pPr>
        <w:pStyle w:val="ListNumber"/>
        <w:keepNext/>
        <w:numPr>
          <w:ilvl w:val="0"/>
          <w:numId w:val="10"/>
        </w:numPr>
      </w:pPr>
      <w:r>
        <w:rPr>
          <w:rFonts w:ascii="Calibri" w:hAnsi="Calibri" w:eastAsia="Calibri"/>
        </w:rPr>
        <w:t>Separă explicațiile factuale de opinii și nu completa retroactiv documente.</w:t>
      </w:r>
    </w:p>
    <w:p>
      <w:pPr>
        <w:pStyle w:val="ListNumber"/>
        <w:keepNext w:val="0"/>
        <w:numPr>
          <w:ilvl w:val="0"/>
          <w:numId w:val="10"/>
        </w:numPr>
      </w:pPr>
      <w:r>
        <w:rPr>
          <w:rFonts w:ascii="Calibri" w:hAnsi="Calibri" w:eastAsia="Calibri"/>
        </w:rPr>
        <w:t>După control, transformă fiecare măsură într-o acțiune cu responsabil, termen și dovadă.</w:t>
      </w:r>
    </w:p>
    <w:p>
      <w:pPr>
        <w:pStyle w:val="Heading1"/>
      </w:pPr>
      <w:r>
        <w:t>2. Ce verifică frecvent controlul</w:t>
      </w:r>
    </w:p>
    <w:p>
      <w:pPr>
        <w:keepLines w:val="0"/>
      </w:pPr>
      <w:r>
        <w:rPr>
          <w:rFonts w:ascii="Calibri" w:hAnsi="Calibri" w:eastAsia="Calibri"/>
          <w:i w:val="0"/>
        </w:rPr>
        <w:t>În comunicatul oficial din 10 august 2026, Garda Națională de Mediu a indicat între neregulile frecvente constatate: funcționarea fără autorizație de mediu, depozitarea necontrolată a deșeurilor, transportul fără documentele obligatorii sau cu formulare incorecte, lipsa evidențelor, nerespectarea condițiilor din autorizație și evacuarea necorespunzătoare a apelor uzate.</w:t>
      </w:r>
    </w:p>
    <w:p>
      <w:pPr>
        <w:keepLines/>
        <w:spacing w:before="80" w:after="12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CONSECINȚĂ PRACTICĂ</w:t>
        <w:br/>
      </w:r>
      <w:r>
        <w:rPr>
          <w:rFonts w:ascii="Calibri" w:hAnsi="Calibri" w:eastAsia="Calibri"/>
          <w:color w:val="092F29"/>
          <w:sz w:val="21"/>
        </w:rPr>
        <w:t>Pregătirea nu începe cu ordonarea bibliorafturilor. Începe cu verificarea faptelor din teren și a coerenței dintre activitate, autorizații, cantități, documente și destinații.</w:t>
      </w:r>
    </w:p>
    <w:p>
      <w:pPr>
        <w:spacing w:after="20"/>
      </w:pPr>
    </w:p>
    <w:p>
      <w:pPr>
        <w:pStyle w:val="Heading1"/>
      </w:pPr>
      <w:r>
        <w:t>3. Dosarul de control</w:t>
      </w:r>
    </w:p>
    <w:p>
      <w:pPr>
        <w:pStyle w:val="Heading2"/>
      </w:pPr>
      <w:r>
        <w:t>A. Identificare și acte de reglementare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Datele organizației, punctului de lucru și activităților sunt actuale.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certificat, punct de lucru, organigramă, împuternicire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Actele de reglementare sunt valabile și corespund activității reale.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acord/autorizație, notificări, decizii de revizuire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Condițiile și monitorizările impuse au dovezi.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buletine, rapoarte, contracte, registre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Măsurile controalelor anterioare sunt închise.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procese-verbale, răspunsuri, dovezi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pStyle w:val="Heading2"/>
      </w:pPr>
      <w:r>
        <w:t>B. Deșeuri și trasabilitate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Inventarul și codurile sunt justificate și corespund terenului.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listă coduri, procese, SDS/analize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Colectarea separată și stocarea sunt funcționale.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inspecție, etichete, plan, registre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Operatorii și destinațiile sunt verificați.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autorizații, contracte, licențe după caz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Predările au documente complete.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avize, formulare, tichete, facturi, certificate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Evidența lunară și raportarea anuală sunt corelate.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registru, balanță, confirmări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6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Persoana responsabilă și instruirea sunt documentate.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decizie/contract, instruiri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pStyle w:val="Heading2"/>
      </w:pPr>
      <w:r>
        <w:t>C. Alte domenii și situația din teren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500"/>
        <w:gridCol w:w="3600"/>
        <w:gridCol w:w="3000"/>
        <w:gridCol w:w="1160"/>
        <w:gridCol w:w="1100"/>
      </w:tblGrid>
      <w:tr>
        <w:trPr>
          <w:cantSplit/>
          <w:tblHeader w:val="true"/>
        </w:trPr>
        <w:tc>
          <w:tcPr>
            <w:tcW w:type="dxa" w:w="5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Nr.</w:t>
            </w:r>
          </w:p>
        </w:tc>
        <w:tc>
          <w:tcPr>
            <w:tcW w:type="dxa" w:w="36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Verificare</w:t>
            </w:r>
          </w:p>
        </w:tc>
        <w:tc>
          <w:tcPr>
            <w:tcW w:type="dxa" w:w="30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Dovadă de urmărit</w:t>
            </w:r>
          </w:p>
        </w:tc>
        <w:tc>
          <w:tcPr>
            <w:tcW w:type="dxa" w:w="1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Status</w:t>
            </w:r>
          </w:p>
        </w:tc>
        <w:tc>
          <w:tcPr>
            <w:tcW w:type="dxa" w:w="11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Prioritate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1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Apele uzate, evacuările și utilizările de apă corespund actelor și monitorizărilor.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autorizații, contracte, buletine, scheme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2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Emisiile, praful, mirosul și zgomotul sunt controlate conform condițiilor aplicabile.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măsurători, mentenanță, inspecții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3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Substanțele și materialele periculoase sunt inventariate și stocate corect.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SDS, etichete, retenție, plan incident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4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Nu există depozitări, scurgeri, arderi sau zone necontrolate.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inspecție completă amplasament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  <w:tr>
        <w:trPr>
          <w:cantSplit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5</w:t>
            </w:r>
          </w:p>
        </w:tc>
        <w:tc>
          <w:tcPr>
            <w:tcW w:type="dxa" w:w="3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Contractanții respectă aceleași reguli pe amplasament.</w:t>
            </w:r>
          </w:p>
        </w:tc>
        <w:tc>
          <w:tcPr>
            <w:tcW w:type="dxa" w:w="3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contracte, instruire, control acces</w:t>
            </w:r>
          </w:p>
        </w:tc>
        <w:tc>
          <w:tcPr>
            <w:tcW w:type="dxa" w:w="1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C / P / L / N/A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  <w:t>R / M / S</w:t>
            </w:r>
          </w:p>
        </w:tc>
      </w:tr>
    </w:tbl>
    <w:p>
      <w:pPr>
        <w:spacing w:after="40"/>
      </w:pPr>
    </w:p>
    <w:p>
      <w:pPr>
        <w:pStyle w:val="Heading1"/>
      </w:pPr>
      <w:r>
        <w:t>4. Organizarea echipei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2300"/>
        <w:gridCol w:w="1900"/>
        <w:gridCol w:w="5160"/>
      </w:tblGrid>
      <w:tr>
        <w:trPr>
          <w:cantSplit/>
          <w:tblHeader w:val="true"/>
        </w:trPr>
        <w:tc>
          <w:tcPr>
            <w:tcW w:type="dxa" w:w="23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Rol</w:t>
            </w:r>
          </w:p>
        </w:tc>
        <w:tc>
          <w:tcPr>
            <w:tcW w:type="dxa" w:w="1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Persoană</w:t>
            </w:r>
          </w:p>
        </w:tc>
        <w:tc>
          <w:tcPr>
            <w:tcW w:type="dxa" w:w="51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7"/>
              </w:rPr>
              <w:t>Responsabilitate în timpul controlului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Coordonator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interfața unică, agenda, escaladarea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Tehnic / operațional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explică procesele și însoțește vizita în teren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Documente / mediu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localizează, copiază și înregistrează documentele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Management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decizii, resurse și poziție oficială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Juridic, dacă este necesar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aspecte procedurale, sancțiuni, contestații</w:t>
            </w:r>
          </w:p>
        </w:tc>
      </w:tr>
      <w:tr>
        <w:trPr>
          <w:cantSplit/>
        </w:trPr>
        <w:tc>
          <w:tcPr>
            <w:tcW w:type="dxa" w:w="2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Înlocuitor</w:t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</w:r>
          </w:p>
        </w:tc>
        <w:tc>
          <w:tcPr>
            <w:tcW w:type="dxa" w:w="5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7"/>
              </w:rPr>
              <w:t>preia rolul coordonatorului la indisponibilitate</w:t>
            </w:r>
          </w:p>
        </w:tc>
      </w:tr>
    </w:tbl>
    <w:p>
      <w:pPr>
        <w:spacing w:after="40"/>
      </w:pPr>
    </w:p>
    <w:p>
      <w:pPr>
        <w:pStyle w:val="Heading1"/>
      </w:pPr>
      <w:r>
        <w:t>5. În timpul controlului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Verifică identitatea, instituția, obiectul și documentele controlului conform procedurilor aplicabile.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Desemnează persoana de legătură și asigură accesul în condiții de siguranță, fără obstrucționarea controlului.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Înregistrează fiecare solicitare, documentul furnizat, forma și momentul predării; păstrează copia setului transmis.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Răspunde exact și factual. Dacă informația nu este disponibilă, indică termenul realist de prezentare, fără presupuneri.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Însoțește verificarea din teren și notează obiectiv locațiile, fotografiile, măsurătorile și explicațiile solicitate.</w:t>
      </w:r>
    </w:p>
    <w:p>
      <w:pPr>
        <w:pStyle w:val="ListNumber"/>
        <w:keepNext/>
        <w:numPr>
          <w:ilvl w:val="0"/>
          <w:numId w:val="11"/>
        </w:numPr>
      </w:pPr>
      <w:r>
        <w:rPr>
          <w:rFonts w:ascii="Calibri" w:hAnsi="Calibri" w:eastAsia="Calibri"/>
        </w:rPr>
        <w:t>Citește integral actul de control înainte de semnare, verifică datele și consemnează factual eventualele observații sau documente care trebuie avute în vedere.</w:t>
      </w:r>
    </w:p>
    <w:p>
      <w:pPr>
        <w:pStyle w:val="ListNumber"/>
        <w:keepNext w:val="0"/>
        <w:numPr>
          <w:ilvl w:val="0"/>
          <w:numId w:val="11"/>
        </w:numPr>
      </w:pPr>
      <w:r>
        <w:rPr>
          <w:rFonts w:ascii="Calibri" w:hAnsi="Calibri" w:eastAsia="Calibri"/>
        </w:rPr>
        <w:t>Solicită și arhivează exemplarul documentului de control și anexele comunicate.</w:t>
      </w:r>
    </w:p>
    <w:p>
      <w:pPr>
        <w:pStyle w:val="Heading1"/>
      </w:pPr>
      <w:r>
        <w:t>6. Registrul solicitărilor din timpul controlului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250"/>
        <w:gridCol w:w="2450"/>
        <w:gridCol w:w="2700"/>
        <w:gridCol w:w="1400"/>
        <w:gridCol w:w="1560"/>
      </w:tblGrid>
      <w:tr>
        <w:trPr>
          <w:cantSplit/>
          <w:tblHeader w:val="true"/>
        </w:trPr>
        <w:tc>
          <w:tcPr>
            <w:tcW w:type="dxa" w:w="12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Ora / data</w:t>
            </w:r>
          </w:p>
        </w:tc>
        <w:tc>
          <w:tcPr>
            <w:tcW w:type="dxa" w:w="24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Solicitare</w:t>
            </w:r>
          </w:p>
        </w:tc>
        <w:tc>
          <w:tcPr>
            <w:tcW w:type="dxa" w:w="27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Document / răspuns furnizat</w:t>
            </w:r>
          </w:p>
        </w:tc>
        <w:tc>
          <w:tcPr>
            <w:tcW w:type="dxa" w:w="14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Furnizat de</w:t>
            </w:r>
          </w:p>
        </w:tc>
        <w:tc>
          <w:tcPr>
            <w:tcW w:type="dxa" w:w="15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6"/>
              </w:rPr>
              <w:t>Observații</w:t>
            </w:r>
          </w:p>
        </w:tc>
      </w:tr>
      <w:tr>
        <w:trPr>
          <w:cantSplit/>
        </w:trPr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  <w:tr>
        <w:trPr>
          <w:cantSplit/>
        </w:trPr>
        <w:tc>
          <w:tcPr>
            <w:tcW w:type="dxa" w:w="12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2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  <w:tc>
          <w:tcPr>
            <w:tcW w:type="dxa" w:w="1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1"/>
      </w:pPr>
      <w:r>
        <w:t>7. După control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9C3C0"/>
          <w:left w:val="single" w:sz="4" w:space="0" w:color="B9C3C0"/>
          <w:bottom w:val="single" w:sz="4" w:space="0" w:color="B9C3C0"/>
          <w:right w:val="single" w:sz="4" w:space="0" w:color="B9C3C0"/>
          <w:insideH w:val="single" w:sz="4" w:space="0" w:color="B9C3C0"/>
          <w:insideV w:val="single" w:sz="4" w:space="0" w:color="B9C3C0"/>
        </w:tblBorders>
      </w:tblPr>
      <w:tblGrid>
        <w:gridCol w:w="1800"/>
        <w:gridCol w:w="1200"/>
        <w:gridCol w:w="1800"/>
        <w:gridCol w:w="1150"/>
        <w:gridCol w:w="900"/>
        <w:gridCol w:w="1450"/>
        <w:gridCol w:w="1060"/>
      </w:tblGrid>
      <w:tr>
        <w:trPr>
          <w:cantSplit/>
          <w:tblHeader w:val="true"/>
        </w:trPr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Măsură / constatare</w:t>
            </w:r>
          </w:p>
        </w:tc>
        <w:tc>
          <w:tcPr>
            <w:tcW w:type="dxa" w:w="12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Sursă exactă</w:t>
            </w:r>
          </w:p>
        </w:tc>
        <w:tc>
          <w:tcPr>
            <w:tcW w:type="dxa" w:w="18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Acțiune</w:t>
            </w:r>
          </w:p>
        </w:tc>
        <w:tc>
          <w:tcPr>
            <w:tcW w:type="dxa" w:w="11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Responsabil</w:t>
            </w:r>
          </w:p>
        </w:tc>
        <w:tc>
          <w:tcPr>
            <w:tcW w:type="dxa" w:w="90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Termen</w:t>
            </w:r>
          </w:p>
        </w:tc>
        <w:tc>
          <w:tcPr>
            <w:tcW w:type="dxa" w:w="145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Dovadă</w:t>
            </w:r>
          </w:p>
        </w:tc>
        <w:tc>
          <w:tcPr>
            <w:tcW w:type="dxa" w:w="1060"/>
            <w:shd w:fill="D5F33C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/>
                <w:color w:val="092F29"/>
                <w:sz w:val="15"/>
              </w:rPr>
              <w:t>Transmis / verificat</w:t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  <w:tr>
        <w:trPr>
          <w:cantSplit/>
        </w:trP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1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  <w:tc>
          <w:tcPr>
            <w:tcW w:type="dxa" w:w="10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0" w:line="259" w:lineRule="auto"/>
            </w:pPr>
            <w:r/>
            <w:r>
              <w:rPr>
                <w:rFonts w:ascii="Calibri" w:hAnsi="Calibri" w:eastAsia="Calibri"/>
                <w:b w:val="0"/>
                <w:color w:val="092F29"/>
                <w:sz w:val="15"/>
              </w:rPr>
            </w:r>
          </w:p>
        </w:tc>
      </w:tr>
    </w:tbl>
    <w:p>
      <w:pPr>
        <w:spacing w:after="40"/>
      </w:pPr>
    </w:p>
    <w:p>
      <w:pPr>
        <w:pStyle w:val="ListBullet"/>
      </w:pPr>
      <w:r>
        <w:rPr>
          <w:rFonts w:ascii="Calibri" w:hAnsi="Calibri" w:eastAsia="Calibri"/>
        </w:rPr>
        <w:t>Comunicarea internă se face în aceeași zi pentru constatările cu risc ridicat.</w:t>
      </w:r>
    </w:p>
    <w:p>
      <w:pPr>
        <w:pStyle w:val="ListBullet"/>
      </w:pPr>
      <w:r>
        <w:rPr>
          <w:rFonts w:ascii="Calibri" w:hAnsi="Calibri" w:eastAsia="Calibri"/>
        </w:rPr>
        <w:t>Termenul se calculează și se verifică potrivit actului primit; nu se presupune.</w:t>
      </w:r>
    </w:p>
    <w:p>
      <w:pPr>
        <w:pStyle w:val="ListBullet"/>
      </w:pPr>
      <w:r>
        <w:rPr>
          <w:rFonts w:ascii="Calibri" w:hAnsi="Calibri" w:eastAsia="Calibri"/>
        </w:rPr>
        <w:t>Răspunsul către autoritate indică măsura, acțiunea, documentul anexat și dovada concretă.</w:t>
      </w:r>
    </w:p>
    <w:p>
      <w:pPr>
        <w:pStyle w:val="ListBullet"/>
      </w:pPr>
      <w:r>
        <w:rPr>
          <w:rFonts w:ascii="Calibri" w:hAnsi="Calibri" w:eastAsia="Calibri"/>
        </w:rPr>
        <w:t>Închiderea internă include verificarea eficacității, nu doar transmiterea unei adrese.</w:t>
      </w:r>
    </w:p>
    <w:p>
      <w:pPr>
        <w:pStyle w:val="ListBullet"/>
      </w:pPr>
      <w:r>
        <w:rPr>
          <w:rFonts w:ascii="Calibri" w:hAnsi="Calibri" w:eastAsia="Calibri"/>
        </w:rPr>
        <w:t>Pentru sancțiuni, suspendări, măsuri contestate sau risc penal se solicită imediat asistență juridică specializată.</w:t>
      </w:r>
    </w:p>
    <w:p>
      <w:pPr>
        <w:pStyle w:val="Heading1"/>
      </w:pPr>
      <w:r>
        <w:t>Surse oficiale consultate</w:t>
      </w:r>
    </w:p>
    <w:p>
      <w:pPr>
        <w:keepLines w:val="0"/>
      </w:pPr>
      <w:r>
        <w:rPr>
          <w:rFonts w:ascii="Calibri" w:hAnsi="Calibri" w:eastAsia="Calibri"/>
          <w:i w:val="0"/>
        </w:rPr>
        <w:t>Verificare editorială: 25 august 2026. Pentru utilizare externă se consultă forma consolidată disponibilă la data folosirii documentului.</w:t>
      </w:r>
    </w:p>
    <w:p>
      <w:pPr>
        <w:pStyle w:val="ListBullet"/>
      </w:pPr>
      <w:hyperlink r:id="rId13">
        <w:r>
          <w:rPr>
            <w:rFonts w:ascii="Calibri" w:hAnsi="Calibri"/>
            <w:color w:val="092F29"/>
            <w:u w:val="single"/>
          </w:rPr>
          <w:t>Garda Națională de Mediu - comunicat privind neconformitățile constatate în controalele din august 2026</w:t>
        </w:r>
      </w:hyperlink>
    </w:p>
    <w:p>
      <w:pPr>
        <w:pStyle w:val="ListBullet"/>
      </w:pPr>
      <w:hyperlink r:id="rId14">
        <w:r>
          <w:rPr>
            <w:rFonts w:ascii="Calibri" w:hAnsi="Calibri"/>
            <w:color w:val="092F29"/>
            <w:u w:val="single"/>
          </w:rPr>
          <w:t>OUG nr. 195/2005 privind protecția mediului - forma consolidată</w:t>
        </w:r>
      </w:hyperlink>
    </w:p>
    <w:p>
      <w:pPr>
        <w:pStyle w:val="ListBullet"/>
      </w:pPr>
      <w:hyperlink r:id="rId15">
        <w:r>
          <w:rPr>
            <w:rFonts w:ascii="Calibri" w:hAnsi="Calibri"/>
            <w:color w:val="092F29"/>
            <w:u w:val="single"/>
          </w:rPr>
          <w:t>OUG nr. 92/2021 privind regimul deșeurilor - forma consolidată</w:t>
        </w:r>
      </w:hyperlink>
    </w:p>
    <w:p>
      <w:pPr>
        <w:pStyle w:val="ListBullet"/>
      </w:pPr>
      <w:hyperlink r:id="rId16">
        <w:r>
          <w:rPr>
            <w:rFonts w:ascii="Calibri" w:hAnsi="Calibri"/>
            <w:color w:val="092F29"/>
            <w:u w:val="single"/>
          </w:rPr>
          <w:t>HG nr. 856/2002 privind evidența gestiunii deșeurilor și lista deșeurilor</w:t>
        </w:r>
      </w:hyperlink>
    </w:p>
    <w:p>
      <w:pPr>
        <w:pStyle w:val="ListBullet"/>
      </w:pPr>
      <w:hyperlink r:id="rId17">
        <w:r>
          <w:rPr>
            <w:rFonts w:ascii="Calibri" w:hAnsi="Calibri"/>
            <w:color w:val="092F29"/>
            <w:u w:val="single"/>
          </w:rPr>
          <w:t>HG nr. 1.061/2008 privind transportul deșeurilor</w:t>
        </w:r>
      </w:hyperlink>
    </w:p>
    <w:p>
      <w:pPr>
        <w:keepLines/>
        <w:spacing w:before="80" w:after="120" w:line="288" w:lineRule="auto"/>
        <w:ind w:left="173" w:right="173"/>
        <w:shd w:fill="F3F0E7"/>
        <w:pBdr>
          <w:top w:val="single" w:sz="4" w:space="8" w:color="F3F0E7"/>
          <w:left w:val="single" w:sz="4" w:space="8" w:color="F3F0E7"/>
          <w:bottom w:val="single" w:sz="4" w:space="8" w:color="F3F0E7"/>
          <w:right w:val="single" w:sz="4" w:space="8" w:color="F3F0E7"/>
        </w:pBdr>
      </w:pPr>
      <w:r>
        <w:rPr>
          <w:rFonts w:ascii="Calibri" w:hAnsi="Calibri" w:eastAsia="Calibri"/>
          <w:b/>
          <w:color w:val="092F29"/>
          <w:sz w:val="17"/>
        </w:rPr>
        <w:t>NOTĂ DE APLICABILITATE</w:t>
        <w:br/>
      </w:r>
      <w:r>
        <w:rPr>
          <w:rFonts w:ascii="Calibri" w:hAnsi="Calibri" w:eastAsia="Calibri"/>
          <w:color w:val="092F29"/>
          <w:sz w:val="21"/>
        </w:rPr>
        <w:t>Competențele, procedura și documentele controlului depind de obiectul verificării și de cadrul legal aplicabil. Ghidul nu formulează strategii de contestare.</w:t>
      </w:r>
    </w:p>
    <w:p>
      <w:pPr>
        <w:spacing w:after="20"/>
      </w:pPr>
    </w:p>
    <w:p>
      <w:pPr>
        <w:pStyle w:val="Heading1"/>
        <w:spacing w:before="160" w:after="100"/>
      </w:pPr>
      <w:r>
        <w:t>Ai nevoie de varianta personalizată?</w:t>
      </w:r>
    </w:p>
    <w:p>
      <w:pPr>
        <w:keepLines/>
        <w:spacing w:before="80" w:after="0" w:line="288" w:lineRule="auto"/>
        <w:ind w:left="173" w:right="173"/>
        <w:shd w:fill="D5F33C"/>
        <w:pBdr>
          <w:top w:val="single" w:sz="4" w:space="8" w:color="D5F33C"/>
          <w:left w:val="single" w:sz="4" w:space="8" w:color="D5F33C"/>
          <w:bottom w:val="single" w:sz="4" w:space="8" w:color="D5F33C"/>
          <w:right w:val="single" w:sz="4" w:space="8" w:color="D5F33C"/>
        </w:pBdr>
      </w:pPr>
      <w:r>
        <w:rPr>
          <w:rFonts w:ascii="Calibri" w:hAnsi="Calibri" w:eastAsia="Calibri"/>
          <w:b/>
          <w:color w:val="092F29"/>
          <w:sz w:val="17"/>
        </w:rPr>
        <w:t>MEDIU LA PUNCT</w:t>
        <w:br/>
      </w:r>
      <w:r>
        <w:rPr>
          <w:rFonts w:ascii="Calibri" w:hAnsi="Calibri" w:eastAsia="Calibri"/>
          <w:color w:val="092F29"/>
          <w:sz w:val="21"/>
        </w:rPr>
        <w:t>Pregătim dosarul de control, verificăm amplasamentul și trasabilitatea, asistăm echipa în clarificări și redactăm planul și răspunsurile pentru măsurile dispuse. Detalii și servicii: mediulapunct.ro.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9360" w:val="right"/>
      </w:tabs>
      <w:spacing w:before="80"/>
      <w:pBdr>
        <w:bottom w:val="single" w:sz="4" w:space="4" w:color="B9C3C0"/>
      </w:pBdr>
    </w:pPr>
    <w:r>
      <w:rPr>
        <w:rFonts w:ascii="Calibri" w:hAnsi="Calibri" w:eastAsia="Calibri"/>
        <w:color w:val="66736E"/>
        <w:sz w:val="16"/>
      </w:rPr>
      <w:t>Mediu la Punct | mediulapunct.ro | Model orientativ</w:t>
    </w:r>
    <w:r>
      <w:tab/>
    </w:r>
    <w:r>
      <w:rPr>
        <w:rFonts w:ascii="Calibri" w:hAnsi="Calibri" w:eastAsia="Calibri"/>
        <w:color w:val="66736E"/>
        <w:sz w:val="16"/>
      </w:rPr>
      <w:t xml:space="preserve">Pagina </w:t>
    </w:r>
    <w:r>
      <w:rPr>
        <w:rFonts w:ascii="Calibri" w:hAnsi="Calibri" w:eastAsia="Calibri"/>
        <w:color w:val="66736E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60"/>
      <w:pBdr>
        <w:bottom w:val="single" w:sz="4" w:space="4" w:color="B9C3C0"/>
      </w:pBdr>
    </w:pPr>
    <w:r>
      <w:drawing>
        <wp:inline xmlns:a="http://schemas.openxmlformats.org/drawingml/2006/main" xmlns:pic="http://schemas.openxmlformats.org/drawingml/2006/picture">
          <wp:extent cx="1874519" cy="345233"/>
          <wp:docPr id="1" name="Picture 1" descr="Sigla Mediu la Punct" title="Mediu la Punct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-mediu-la-punc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19" cy="345233"/>
                  </a:xfrm>
                  <a:prstGeom prst="rect"/>
                </pic:spPr>
              </pic:pic>
            </a:graphicData>
          </a:graphic>
        </wp:inline>
      </w:drawing>
    </w:r>
    <w:r>
      <w:tab/>
    </w:r>
    <w:r>
      <w:rPr>
        <w:rFonts w:ascii="Calibri" w:hAnsi="Calibri" w:eastAsia="Calibri"/>
        <w:b/>
        <w:color w:val="66736E"/>
        <w:sz w:val="16"/>
      </w:rPr>
      <w:t>INSTRUMENT PRACTIC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092F29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092F2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092F2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66736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gnm.ro/433-milioane-de-lei-in-amenzi-si-24-de-activitati-suspendate-in-7-zile-de-verificari-ale-garzii-nationale-de-mediu-pe-litoral/" TargetMode="External"/><Relationship Id="rId14" Type="http://schemas.openxmlformats.org/officeDocument/2006/relationships/hyperlink" Target="https://legislatie.just.ro/Public/DetaliiDocument/67634" TargetMode="External"/><Relationship Id="rId15" Type="http://schemas.openxmlformats.org/officeDocument/2006/relationships/hyperlink" Target="https://legislatie.just.ro/Public/DetaliiDocument/245846" TargetMode="External"/><Relationship Id="rId16" Type="http://schemas.openxmlformats.org/officeDocument/2006/relationships/hyperlink" Target="https://legislatie.just.ro/Public/DetaliiDocument/38294" TargetMode="External"/><Relationship Id="rId17" Type="http://schemas.openxmlformats.org/officeDocument/2006/relationships/hyperlink" Target="https://legislatie.just.ro/Public/DetaliiDocument/97706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practic pentru pregătirea unui control al Gărzii Naționale de Mediu</dc:title>
  <dc:subject>Instrument practic orientativ de conformare de mediu</dc:subject>
  <dc:creator>Mediu la Punct</dc:creator>
  <cp:keywords>mediu, deșeuri, conformare, model orientativ</cp:keywords>
  <dc:description>Actualizat la 25 august 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