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160"/>
      </w:pPr>
      <w:r>
        <w:rPr>
          <w:rFonts w:ascii="Calibri" w:hAnsi="Calibri" w:eastAsia="Calibri"/>
          <w:b/>
          <w:caps/>
          <w:color w:val="66736E"/>
          <w:sz w:val="18"/>
        </w:rPr>
        <w:t>AUTOEVALUARE INSTITUȚIONALĂ</w:t>
      </w:r>
    </w:p>
    <w:p>
      <w:pPr>
        <w:keepNext/>
        <w:spacing w:before="0" w:after="200"/>
      </w:pPr>
      <w:r>
        <w:rPr>
          <w:rFonts w:ascii="Calibri" w:hAnsi="Calibri" w:eastAsia="Calibri"/>
          <w:b/>
          <w:color w:val="092F29"/>
          <w:sz w:val="56"/>
        </w:rPr>
        <w:t>Checklist de mediu pentru primării și instituții publice</w:t>
      </w:r>
    </w:p>
    <w:p>
      <w:pPr>
        <w:spacing w:before="0" w:after="360" w:line="288" w:lineRule="auto"/>
      </w:pPr>
      <w:r>
        <w:rPr>
          <w:rFonts w:ascii="Calibri" w:hAnsi="Calibri" w:eastAsia="Calibri"/>
          <w:color w:val="66736E"/>
          <w:sz w:val="25"/>
        </w:rPr>
        <w:t>Separă obligațiile instituției ca generator de rolurile de autoritate, titular de proiect sau administrator al unui serviciu.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800"/>
        <w:gridCol w:w="7560"/>
      </w:tblGrid>
      <w:tr>
        <w:trPr>
          <w:cantSplit/>
          <w:tblHeader w:val="true"/>
        </w:trPr>
        <w:tc>
          <w:tcPr>
            <w:tcW w:type="dxa" w:w="1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Câmp</w:t>
            </w:r>
          </w:p>
        </w:tc>
        <w:tc>
          <w:tcPr>
            <w:tcW w:type="dxa" w:w="75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Informație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Destinat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Instituții publice, UAT, ADI și autorități contractante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Format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Model editabil Word și versiune PDF pentru consultare/print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Actualizare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25 august 2026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Statut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Instrument orientativ. Necesită verificare și adaptare înainte de utilizare externă.</w:t>
            </w:r>
          </w:p>
        </w:tc>
      </w:tr>
    </w:tbl>
    <w:p>
      <w:pPr>
        <w:spacing w:after="40"/>
      </w:pPr>
    </w:p>
    <w:p>
      <w:pPr>
        <w:pStyle w:val="Heading1"/>
      </w:pPr>
      <w:r>
        <w:t>1. Scopul și utilizarea documentului</w:t>
      </w:r>
    </w:p>
    <w:p>
      <w:pPr>
        <w:keepLines/>
        <w:spacing w:before="80" w:after="120" w:line="288" w:lineRule="auto"/>
        <w:ind w:left="173" w:right="173"/>
        <w:shd w:fill="E7EDEB"/>
        <w:pBdr>
          <w:top w:val="single" w:sz="4" w:space="8" w:color="E7EDEB"/>
          <w:left w:val="single" w:sz="4" w:space="8" w:color="E7EDEB"/>
          <w:bottom w:val="single" w:sz="4" w:space="8" w:color="E7EDEB"/>
          <w:right w:val="single" w:sz="4" w:space="8" w:color="E7EDEB"/>
        </w:pBdr>
      </w:pPr>
      <w:r>
        <w:rPr>
          <w:rFonts w:ascii="Calibri" w:hAnsi="Calibri" w:eastAsia="Calibri"/>
          <w:b/>
          <w:color w:val="092F29"/>
          <w:sz w:val="17"/>
        </w:rPr>
        <w:t>SCOP</w:t>
        <w:br/>
      </w:r>
      <w:r>
        <w:rPr>
          <w:rFonts w:ascii="Calibri" w:hAnsi="Calibri" w:eastAsia="Calibri"/>
          <w:color w:val="092F29"/>
          <w:sz w:val="21"/>
        </w:rPr>
        <w:t>Checklistul pornește de la rolul instituției. Nu atribuie automat unei primării, unui UAT sau unei ADI toate obligațiile enumerate și nu substituie analiza contractelor, hotărârilor, regulamentelor și delegărilor.</w:t>
      </w:r>
    </w:p>
    <w:p>
      <w:pPr>
        <w:spacing w:after="20"/>
      </w:pPr>
    </w:p>
    <w:p>
      <w:pPr>
        <w:pStyle w:val="Heading2"/>
      </w:pPr>
      <w:r>
        <w:t>Când este util</w:t>
      </w:r>
    </w:p>
    <w:p>
      <w:pPr>
        <w:pStyle w:val="ListBullet"/>
      </w:pPr>
      <w:r>
        <w:rPr>
          <w:rFonts w:ascii="Calibri" w:hAnsi="Calibri" w:eastAsia="Calibri"/>
        </w:rPr>
        <w:t>Evaluare anuală sau preluarea atribuțiilor.</w:t>
      </w:r>
    </w:p>
    <w:p>
      <w:pPr>
        <w:pStyle w:val="ListBullet"/>
      </w:pPr>
      <w:r>
        <w:rPr>
          <w:rFonts w:ascii="Calibri" w:hAnsi="Calibri" w:eastAsia="Calibri"/>
        </w:rPr>
        <w:t>Pregătirea unui control, audit sau raport către conducere.</w:t>
      </w:r>
    </w:p>
    <w:p>
      <w:pPr>
        <w:pStyle w:val="ListBullet"/>
      </w:pPr>
      <w:r>
        <w:rPr>
          <w:rFonts w:ascii="Calibri" w:hAnsi="Calibri" w:eastAsia="Calibri"/>
        </w:rPr>
        <w:t>Revizuirea contractelor și monitorizării serviciului de salubrizare.</w:t>
      </w:r>
    </w:p>
    <w:p>
      <w:pPr>
        <w:pStyle w:val="ListBullet"/>
      </w:pPr>
      <w:r>
        <w:rPr>
          <w:rFonts w:ascii="Calibri" w:hAnsi="Calibri" w:eastAsia="Calibri"/>
        </w:rPr>
        <w:t>Pregătirea unui proiect, achiziții ori plan de măsuri.</w:t>
      </w:r>
    </w:p>
    <w:p>
      <w:pPr>
        <w:pStyle w:val="Heading2"/>
      </w:pPr>
      <w:r>
        <w:t>Cum se folosește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Bifează mai întâi rolurile efectiv exercitate.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Completează separat obligațiile instituției ca generator.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Pentru serviciile publice, verifică exact contractul, regulamentul, hotărârile și repartizarea competențelor.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Leagă fiecare răspuns de o dovadă și de un compartiment responsabil.</w:t>
      </w:r>
    </w:p>
    <w:p>
      <w:pPr>
        <w:pStyle w:val="ListNumber"/>
        <w:keepNext w:val="0"/>
        <w:numPr>
          <w:ilvl w:val="0"/>
          <w:numId w:val="10"/>
        </w:numPr>
      </w:pPr>
      <w:r>
        <w:rPr>
          <w:rFonts w:ascii="Calibri" w:hAnsi="Calibri" w:eastAsia="Calibri"/>
        </w:rPr>
        <w:t>Transformă lipsurile într-un plan aprobat, cu termen și raportare periodică.</w:t>
      </w:r>
    </w:p>
    <w:p>
      <w:pPr>
        <w:pStyle w:val="Heading1"/>
      </w:pPr>
      <w:r>
        <w:t>2. Harta rolurilor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3600"/>
        <w:gridCol w:w="900"/>
        <w:gridCol w:w="2860"/>
        <w:gridCol w:w="2000"/>
      </w:tblGrid>
      <w:tr>
        <w:trPr>
          <w:cantSplit/>
          <w:tblHeader w:val="true"/>
        </w:trPr>
        <w:tc>
          <w:tcPr>
            <w:tcW w:type="dxa" w:w="3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Rol posibil</w:t>
            </w:r>
          </w:p>
        </w:tc>
        <w:tc>
          <w:tcPr>
            <w:tcW w:type="dxa" w:w="9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Da / Nu</w:t>
            </w:r>
          </w:p>
        </w:tc>
        <w:tc>
          <w:tcPr>
            <w:tcW w:type="dxa" w:w="28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Act / document care confirmă rolul</w:t>
            </w:r>
          </w:p>
        </w:tc>
        <w:tc>
          <w:tcPr>
            <w:tcW w:type="dxa" w:w="20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Compartiment responsabil</w:t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Generator de deșeuri din activitatea proprie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Unitate administrativ-teritorială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Membru / mandant într-o asociație de dezvoltare intercomunitară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Asociație de dezvoltare intercomunitară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Autoritate contractantă / delegatar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Titular al unui proiect sau administrator de amplasament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Administrator / monitor al unui serviciu public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</w:tbl>
    <w:p>
      <w:pPr>
        <w:spacing w:after="40"/>
      </w:pPr>
    </w:p>
    <w:p>
      <w:pPr>
        <w:pStyle w:val="Heading2"/>
      </w:pPr>
      <w:r>
        <w:t>3. Instituția ca generator de deșeuri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500"/>
        <w:gridCol w:w="3600"/>
        <w:gridCol w:w="3000"/>
        <w:gridCol w:w="1160"/>
        <w:gridCol w:w="1100"/>
      </w:tblGrid>
      <w:tr>
        <w:trPr>
          <w:cantSplit/>
          <w:tblHeader w:val="true"/>
        </w:trPr>
        <w:tc>
          <w:tcPr>
            <w:tcW w:type="dxa" w:w="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Nr.</w:t>
            </w:r>
          </w:p>
        </w:tc>
        <w:tc>
          <w:tcPr>
            <w:tcW w:type="dxa" w:w="3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Verificare</w:t>
            </w:r>
          </w:p>
        </w:tc>
        <w:tc>
          <w:tcPr>
            <w:tcW w:type="dxa" w:w="30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Dovadă de urmărit</w:t>
            </w:r>
          </w:p>
        </w:tc>
        <w:tc>
          <w:tcPr>
            <w:tcW w:type="dxa" w:w="11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Status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Prioritate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1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Sunt identificate activitățile și toate tipurile de deșeuri generate în sedii, ateliere, spații publice și proiecte.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inventar pe locație și proces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2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Colectarea separată și stocarea sunt funcționale și accesibile personalului.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plan recipiente, inspecție, instrucțiuni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3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Codurile și caracterul periculos sunt justificate.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listă coduri, SDS, analize după caz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4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Predarea se face către operatori verificați și are documente complete.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contracte, autorizații, avize, formulare, tichete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5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Evidența cronologică și raportarea sunt realizate și arhivate.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registre și confirmări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6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Persoana responsabilă, circuitul datelor și instruirea sunt formalizate.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decizie, procedură, instruiri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7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Deșeurile din lucrări și contracte sunt repartizate clar între beneficiar și executant.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contract, plan de gestionare, procese-verbale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</w:tbl>
    <w:p>
      <w:pPr>
        <w:spacing w:after="40"/>
      </w:pPr>
    </w:p>
    <w:p>
      <w:pPr>
        <w:pStyle w:val="Heading2"/>
      </w:pPr>
      <w:r>
        <w:t>4. UAT / ADI / serviciul de salubrizare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500"/>
        <w:gridCol w:w="3600"/>
        <w:gridCol w:w="3000"/>
        <w:gridCol w:w="1160"/>
        <w:gridCol w:w="1100"/>
      </w:tblGrid>
      <w:tr>
        <w:trPr>
          <w:cantSplit/>
          <w:tblHeader w:val="true"/>
        </w:trPr>
        <w:tc>
          <w:tcPr>
            <w:tcW w:type="dxa" w:w="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Nr.</w:t>
            </w:r>
          </w:p>
        </w:tc>
        <w:tc>
          <w:tcPr>
            <w:tcW w:type="dxa" w:w="3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Verificare</w:t>
            </w:r>
          </w:p>
        </w:tc>
        <w:tc>
          <w:tcPr>
            <w:tcW w:type="dxa" w:w="30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Dovadă de urmărit</w:t>
            </w:r>
          </w:p>
        </w:tc>
        <w:tc>
          <w:tcPr>
            <w:tcW w:type="dxa" w:w="11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Status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Prioritate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1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Competențele UAT, ADI și ale operatorului sunt delimitate în acte și contracte.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statut, mandat, contract, regulament, hotărâri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2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Sunt aprobate și actualizate regulamentele, caietele de sarcini și indicatorii aplicabili.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hotărâri și anexe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3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Programele de colectare separată sunt definite, comunicate și monitorizate.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programe, hărți, informări, rapoarte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4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Infrastructura de colectare și centrele sunt inventariate, funcționale și controlate.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inventar, recepții, inspecții, registre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5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Cantitățile sunt urmărite pe flux, localitate, operator, instalație și destinație.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rapoarte, tichete, balanță de masă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6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Deșeurile colectate în amestec urmează traseul și tratarea cerute de cadrul aplicabil înainte de eliminare.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contracte, tichete, rapoarte instalații, facturi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7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Indicatorii de performanță sunt calculați din surse verificabile și au consecințe contractuale urmărite.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fișe KPI, note de verificare, notificări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8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Tarifele, taxele și mecanismele economice sunt corelate cu serviciile și datele validate.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fișe de fundamentare, hotărâri, facturi, verificări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9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Există mecanism pentru sesizări, abandonări, puncte vulnerabile și măsuri de remediere.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registru sesizări, dispoziții, dovezi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10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Raportările către autorități și informarea publică au responsabil, termen și surse.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confirmări, rapoarte, pagini publice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</w:tbl>
    <w:p>
      <w:pPr>
        <w:spacing w:after="40"/>
      </w:pPr>
    </w:p>
    <w:p>
      <w:pPr>
        <w:spacing w:before="80" w:after="80"/>
      </w:pPr>
      <w:r>
        <w:rPr>
          <w:rFonts w:ascii="Calibri" w:hAnsi="Calibri" w:eastAsia="Calibri"/>
          <w:i/>
          <w:color w:val="66736E"/>
          <w:sz w:val="17"/>
        </w:rPr>
        <w:t>Repere de verificat în forma consolidată: OUG nr. 92/2021, în special obligațiile autorităților locale; Legea nr. 101/2006; Legea nr. 51/2006; contractele și actele locale.</w:t>
      </w:r>
    </w:p>
    <w:p>
      <w:pPr>
        <w:pStyle w:val="Heading2"/>
      </w:pPr>
      <w:r>
        <w:t>5. Proiecte, achiziții și contracte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500"/>
        <w:gridCol w:w="3600"/>
        <w:gridCol w:w="3000"/>
        <w:gridCol w:w="1160"/>
        <w:gridCol w:w="1100"/>
      </w:tblGrid>
      <w:tr>
        <w:trPr>
          <w:cantSplit/>
          <w:tblHeader w:val="true"/>
        </w:trPr>
        <w:tc>
          <w:tcPr>
            <w:tcW w:type="dxa" w:w="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Nr.</w:t>
            </w:r>
          </w:p>
        </w:tc>
        <w:tc>
          <w:tcPr>
            <w:tcW w:type="dxa" w:w="3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Verificare</w:t>
            </w:r>
          </w:p>
        </w:tc>
        <w:tc>
          <w:tcPr>
            <w:tcW w:type="dxa" w:w="30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Dovadă de urmărit</w:t>
            </w:r>
          </w:p>
        </w:tc>
        <w:tc>
          <w:tcPr>
            <w:tcW w:type="dxa" w:w="11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Status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Prioritate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1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Pentru proiecte este stabilit din timp traseul de evaluare, avizare și autorizare de mediu.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notă de încadrare, calendar, decizii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2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Cerințele de mediu din documentația de achiziție sunt proporționale și verificabile.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caiet de sarcini, criterii, clauze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3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Contractul definește datele, documentele, frecvența și dreptul de verificare.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clauze și matrice de raportare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4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Recepțiile și plățile sunt corelate cu livrabilele și dovezile de conformare.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procese-verbale, rapoarte, facturi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5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Modificările contractuale sau tehnice sunt analizate și din perspectiva actelor de reglementare.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notă de analiză, notificări, aprobări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</w:tbl>
    <w:p>
      <w:pPr>
        <w:spacing w:after="40"/>
      </w:pPr>
    </w:p>
    <w:p>
      <w:pPr>
        <w:pStyle w:val="Heading2"/>
      </w:pPr>
      <w:r>
        <w:t>6. Guvernanță, control și transparență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500"/>
        <w:gridCol w:w="3600"/>
        <w:gridCol w:w="3000"/>
        <w:gridCol w:w="1160"/>
        <w:gridCol w:w="1100"/>
      </w:tblGrid>
      <w:tr>
        <w:trPr>
          <w:cantSplit/>
          <w:tblHeader w:val="true"/>
        </w:trPr>
        <w:tc>
          <w:tcPr>
            <w:tcW w:type="dxa" w:w="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Nr.</w:t>
            </w:r>
          </w:p>
        </w:tc>
        <w:tc>
          <w:tcPr>
            <w:tcW w:type="dxa" w:w="3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Verificare</w:t>
            </w:r>
          </w:p>
        </w:tc>
        <w:tc>
          <w:tcPr>
            <w:tcW w:type="dxa" w:w="30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Dovadă de urmărit</w:t>
            </w:r>
          </w:p>
        </w:tc>
        <w:tc>
          <w:tcPr>
            <w:tcW w:type="dxa" w:w="11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Status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Prioritate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1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Există o matrice a responsabilităților și un calendar anual aprobat.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decizie, organigramă, plan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2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Datele primite de la operatori sunt verificate, nu doar centralizate.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fișe de control și eșantioane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3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Măsurile controalelor și auditurilor au responsabil, termen și dovadă.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registru unic de măsuri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4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Conducerea primește periodic riscurile, abaterile și deciziile necesare.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raport sintetic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5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Informațiile publice și răspunsurile instituției sunt actuale, coerente și documentate.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site, rapoarte, adrese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</w:tbl>
    <w:p>
      <w:pPr>
        <w:spacing w:after="40"/>
      </w:pPr>
    </w:p>
    <w:p>
      <w:pPr>
        <w:pStyle w:val="Heading1"/>
      </w:pPr>
      <w:r>
        <w:t>7. Plan prioritar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500"/>
        <w:gridCol w:w="1450"/>
        <w:gridCol w:w="1200"/>
        <w:gridCol w:w="850"/>
        <w:gridCol w:w="1700"/>
        <w:gridCol w:w="1200"/>
        <w:gridCol w:w="900"/>
        <w:gridCol w:w="1560"/>
      </w:tblGrid>
      <w:tr>
        <w:trPr>
          <w:cantSplit/>
          <w:tblHeader w:val="true"/>
        </w:trPr>
        <w:tc>
          <w:tcPr>
            <w:tcW w:type="dxa" w:w="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Nr.</w:t>
            </w:r>
          </w:p>
        </w:tc>
        <w:tc>
          <w:tcPr>
            <w:tcW w:type="dxa" w:w="14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Rol / problemă</w:t>
            </w:r>
          </w:p>
        </w:tc>
        <w:tc>
          <w:tcPr>
            <w:tcW w:type="dxa" w:w="12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Sursă</w:t>
            </w:r>
          </w:p>
        </w:tc>
        <w:tc>
          <w:tcPr>
            <w:tcW w:type="dxa" w:w="8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Risc</w:t>
            </w:r>
          </w:p>
        </w:tc>
        <w:tc>
          <w:tcPr>
            <w:tcW w:type="dxa" w:w="17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Măsură</w:t>
            </w:r>
          </w:p>
        </w:tc>
        <w:tc>
          <w:tcPr>
            <w:tcW w:type="dxa" w:w="12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Responsabil</w:t>
            </w:r>
          </w:p>
        </w:tc>
        <w:tc>
          <w:tcPr>
            <w:tcW w:type="dxa" w:w="9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Termen</w:t>
            </w:r>
          </w:p>
        </w:tc>
        <w:tc>
          <w:tcPr>
            <w:tcW w:type="dxa" w:w="15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Dovadă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1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2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3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4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5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</w:tbl>
    <w:p>
      <w:pPr>
        <w:spacing w:after="40"/>
      </w:pPr>
    </w:p>
    <w:p>
      <w:pPr>
        <w:pStyle w:val="Heading1"/>
      </w:pPr>
      <w:r>
        <w:t>Surse oficiale consultate</w:t>
      </w:r>
    </w:p>
    <w:p>
      <w:pPr>
        <w:keepLines w:val="0"/>
      </w:pPr>
      <w:r>
        <w:rPr>
          <w:rFonts w:ascii="Calibri" w:hAnsi="Calibri" w:eastAsia="Calibri"/>
          <w:i w:val="0"/>
        </w:rPr>
        <w:t>Verificare editorială: 25 august 2026. Pentru utilizare externă se consultă forma consolidată disponibilă la data folosirii documentului.</w:t>
      </w:r>
    </w:p>
    <w:p>
      <w:pPr>
        <w:pStyle w:val="ListBullet"/>
      </w:pPr>
      <w:hyperlink r:id="rId13">
        <w:r>
          <w:rPr>
            <w:rFonts w:ascii="Calibri" w:hAnsi="Calibri"/>
            <w:color w:val="092F29"/>
            <w:u w:val="single"/>
          </w:rPr>
          <w:t>OUG nr. 92/2021 privind regimul deșeurilor - forma consolidată</w:t>
        </w:r>
      </w:hyperlink>
    </w:p>
    <w:p>
      <w:pPr>
        <w:pStyle w:val="ListBullet"/>
      </w:pPr>
      <w:hyperlink r:id="rId14">
        <w:r>
          <w:rPr>
            <w:rFonts w:ascii="Calibri" w:hAnsi="Calibri"/>
            <w:color w:val="092F29"/>
            <w:u w:val="single"/>
          </w:rPr>
          <w:t>Legea nr. 101/2006 a serviciului de salubrizare a localităților</w:t>
        </w:r>
      </w:hyperlink>
    </w:p>
    <w:p>
      <w:pPr>
        <w:pStyle w:val="ListBullet"/>
      </w:pPr>
      <w:hyperlink r:id="rId15">
        <w:r>
          <w:rPr>
            <w:rFonts w:ascii="Calibri" w:hAnsi="Calibri"/>
            <w:color w:val="092F29"/>
            <w:u w:val="single"/>
          </w:rPr>
          <w:t>Legea nr. 51/2006 a serviciilor comunitare de utilități publice</w:t>
        </w:r>
      </w:hyperlink>
    </w:p>
    <w:p>
      <w:pPr>
        <w:pStyle w:val="ListBullet"/>
      </w:pPr>
      <w:hyperlink r:id="rId16">
        <w:r>
          <w:rPr>
            <w:rFonts w:ascii="Calibri" w:hAnsi="Calibri"/>
            <w:color w:val="092F29"/>
            <w:u w:val="single"/>
          </w:rPr>
          <w:t>Legea nr. 292/2018 privind evaluarea impactului anumitor proiecte publice și private asupra mediului</w:t>
        </w:r>
      </w:hyperlink>
    </w:p>
    <w:p>
      <w:pPr>
        <w:pStyle w:val="ListBullet"/>
      </w:pPr>
      <w:hyperlink r:id="rId17">
        <w:r>
          <w:rPr>
            <w:rFonts w:ascii="Calibri" w:hAnsi="Calibri"/>
            <w:color w:val="092F29"/>
            <w:u w:val="single"/>
          </w:rPr>
          <w:t>OUG nr. 195/2005 privind protecția mediului - forma consolidată</w:t>
        </w:r>
      </w:hyperlink>
    </w:p>
    <w:p>
      <w:pPr>
        <w:pStyle w:val="ListBullet"/>
      </w:pPr>
      <w:hyperlink r:id="rId18">
        <w:r>
          <w:rPr>
            <w:rFonts w:ascii="Calibri" w:hAnsi="Calibri"/>
            <w:color w:val="092F29"/>
            <w:u w:val="single"/>
          </w:rPr>
          <w:t>Garda Națională de Mediu - comunicat privind neconformitățile constatate în controalele din august 2026</w:t>
        </w:r>
      </w:hyperlink>
    </w:p>
    <w:p>
      <w:pPr>
        <w:keepLines/>
        <w:spacing w:before="80" w:after="120" w:line="288" w:lineRule="auto"/>
        <w:ind w:left="173" w:right="173"/>
        <w:shd w:fill="F3F0E7"/>
        <w:pBdr>
          <w:top w:val="single" w:sz="4" w:space="8" w:color="F3F0E7"/>
          <w:left w:val="single" w:sz="4" w:space="8" w:color="F3F0E7"/>
          <w:bottom w:val="single" w:sz="4" w:space="8" w:color="F3F0E7"/>
          <w:right w:val="single" w:sz="4" w:space="8" w:color="F3F0E7"/>
        </w:pBdr>
      </w:pPr>
      <w:r>
        <w:rPr>
          <w:rFonts w:ascii="Calibri" w:hAnsi="Calibri" w:eastAsia="Calibri"/>
          <w:b/>
          <w:color w:val="092F29"/>
          <w:sz w:val="17"/>
        </w:rPr>
        <w:t>NOTĂ DE APLICABILITATE</w:t>
        <w:br/>
      </w:r>
      <w:r>
        <w:rPr>
          <w:rFonts w:ascii="Calibri" w:hAnsi="Calibri" w:eastAsia="Calibri"/>
          <w:color w:val="092F29"/>
          <w:sz w:val="21"/>
        </w:rPr>
        <w:t>Aplicabilitatea se stabilește din rol, actele de delegare/mandat, contracte, hotărâri, proiecte și activitatea proprie. Checklistul nu interpretează un contract concret.</w:t>
      </w:r>
    </w:p>
    <w:p>
      <w:pPr>
        <w:spacing w:after="20"/>
      </w:pPr>
    </w:p>
    <w:p>
      <w:pPr>
        <w:pStyle w:val="Heading1"/>
        <w:spacing w:before="160" w:after="100"/>
      </w:pPr>
      <w:r>
        <w:t>Ai nevoie de varianta personalizată?</w:t>
      </w:r>
    </w:p>
    <w:p>
      <w:pPr>
        <w:keepLines/>
        <w:spacing w:before="80" w:after="0" w:line="288" w:lineRule="auto"/>
        <w:ind w:left="173" w:right="173"/>
        <w:shd w:fill="D5F33C"/>
        <w:pBdr>
          <w:top w:val="single" w:sz="4" w:space="8" w:color="D5F33C"/>
          <w:left w:val="single" w:sz="4" w:space="8" w:color="D5F33C"/>
          <w:bottom w:val="single" w:sz="4" w:space="8" w:color="D5F33C"/>
          <w:right w:val="single" w:sz="4" w:space="8" w:color="D5F33C"/>
        </w:pBdr>
      </w:pPr>
      <w:r>
        <w:rPr>
          <w:rFonts w:ascii="Calibri" w:hAnsi="Calibri" w:eastAsia="Calibri"/>
          <w:b/>
          <w:color w:val="092F29"/>
          <w:sz w:val="17"/>
        </w:rPr>
        <w:t>MEDIU LA PUNCT</w:t>
        <w:br/>
      </w:r>
      <w:r>
        <w:rPr>
          <w:rFonts w:ascii="Calibri" w:hAnsi="Calibri" w:eastAsia="Calibri"/>
          <w:color w:val="092F29"/>
          <w:sz w:val="21"/>
        </w:rPr>
        <w:t>Realizăm auditul instituțional, matricea rolurilor și obligațiilor, analiza contractelor și fluxurilor, planul anual și instrumentele de monitorizare și control. Detalii și servicii: mediulapunct.ro.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80"/>
      <w:pBdr>
        <w:bottom w:val="single" w:sz="4" w:space="4" w:color="B9C3C0"/>
      </w:pBdr>
    </w:pPr>
    <w:r>
      <w:rPr>
        <w:rFonts w:ascii="Calibri" w:hAnsi="Calibri" w:eastAsia="Calibri"/>
        <w:color w:val="66736E"/>
        <w:sz w:val="16"/>
      </w:rPr>
      <w:t>Mediu la Punct | mediulapunct.ro | Model orientativ</w:t>
    </w:r>
    <w:r>
      <w:tab/>
    </w:r>
    <w:r>
      <w:rPr>
        <w:rFonts w:ascii="Calibri" w:hAnsi="Calibri" w:eastAsia="Calibri"/>
        <w:color w:val="66736E"/>
        <w:sz w:val="16"/>
      </w:rPr>
      <w:t xml:space="preserve">Pagina </w:t>
    </w:r>
    <w:r>
      <w:rPr>
        <w:rFonts w:ascii="Calibri" w:hAnsi="Calibri" w:eastAsia="Calibri"/>
        <w:color w:val="66736E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80"/>
      <w:pBdr>
        <w:bottom w:val="single" w:sz="4" w:space="4" w:color="B9C3C0"/>
      </w:pBdr>
    </w:pPr>
    <w:r>
      <w:rPr>
        <w:rFonts w:ascii="Calibri" w:hAnsi="Calibri" w:eastAsia="Calibri"/>
        <w:color w:val="66736E"/>
        <w:sz w:val="16"/>
      </w:rPr>
      <w:t>Mediu la Punct | mediulapunct.ro | Model orientativ</w:t>
    </w:r>
    <w:r>
      <w:tab/>
    </w:r>
    <w:r>
      <w:rPr>
        <w:rFonts w:ascii="Calibri" w:hAnsi="Calibri" w:eastAsia="Calibri"/>
        <w:color w:val="66736E"/>
        <w:sz w:val="16"/>
      </w:rPr>
      <w:t xml:space="preserve">Pagina </w:t>
    </w:r>
    <w:r>
      <w:rPr>
        <w:rFonts w:ascii="Calibri" w:hAnsi="Calibri" w:eastAsia="Calibri"/>
        <w:color w:val="66736E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60"/>
      <w:pBdr>
        <w:bottom w:val="single" w:sz="4" w:space="4" w:color="B9C3C0"/>
      </w:pBdr>
    </w:pPr>
    <w:r>
      <w:drawing>
        <wp:inline xmlns:a="http://schemas.openxmlformats.org/drawingml/2006/main" xmlns:pic="http://schemas.openxmlformats.org/drawingml/2006/picture">
          <wp:extent cx="1874519" cy="345233"/>
          <wp:docPr id="1" name="Picture 1" descr="Sigla Mediu la Punct" title="Mediu la Punct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mediu-la-pun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345233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Calibri" w:hAnsi="Calibri" w:eastAsia="Calibri"/>
        <w:b/>
        <w:color w:val="66736E"/>
        <w:sz w:val="16"/>
      </w:rPr>
      <w:t>INSTRUMENT PRACTIC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60"/>
      <w:pBdr>
        <w:bottom w:val="single" w:sz="4" w:space="4" w:color="B9C3C0"/>
      </w:pBdr>
    </w:pPr>
    <w:r>
      <w:drawing>
        <wp:inline xmlns:a="http://schemas.openxmlformats.org/drawingml/2006/main" xmlns:pic="http://schemas.openxmlformats.org/drawingml/2006/picture">
          <wp:extent cx="1874519" cy="345233"/>
          <wp:docPr id="1" name="Picture 1" descr="Sigla Mediu la Punct" title="Mediu la Punct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mediu-la-pun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345233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Calibri" w:hAnsi="Calibri" w:eastAsia="Calibri"/>
        <w:b/>
        <w:color w:val="66736E"/>
        <w:sz w:val="16"/>
      </w:rPr>
      <w:t>INSTRUMENT PRACTIC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92F2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92F2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92F2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66736E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legislatie.just.ro/Public/DetaliiDocument/245846" TargetMode="External"/><Relationship Id="rId14" Type="http://schemas.openxmlformats.org/officeDocument/2006/relationships/hyperlink" Target="https://legislatie.just.ro/Public/DetaliiDocument/161116" TargetMode="External"/><Relationship Id="rId15" Type="http://schemas.openxmlformats.org/officeDocument/2006/relationships/hyperlink" Target="https://legislatie.just.ro/Public/DetaliiDocument/70015" TargetMode="External"/><Relationship Id="rId16" Type="http://schemas.openxmlformats.org/officeDocument/2006/relationships/hyperlink" Target="https://legislatie.just.ro/Public/DetaliiDocument/208590" TargetMode="External"/><Relationship Id="rId17" Type="http://schemas.openxmlformats.org/officeDocument/2006/relationships/hyperlink" Target="https://legislatie.just.ro/Public/DetaliiDocument/67634" TargetMode="External"/><Relationship Id="rId18" Type="http://schemas.openxmlformats.org/officeDocument/2006/relationships/hyperlink" Target="https://www.gnm.ro/433-milioane-de-lei-in-amenzi-si-24-de-activitati-suspendate-in-7-zile-de-verificari-ale-garzii-nationale-de-mediu-pe-litoral/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de mediu pentru primării și instituții publice</dc:title>
  <dc:subject>Instrument practic orientativ de conformare de mediu</dc:subject>
  <dc:creator>Mediu la Punct</dc:creator>
  <cp:keywords>mediu, deșeuri, conformare, model orientativ</cp:keywords>
  <dc:description>Actualizat la 25 august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