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Calibri" w:hAnsi="Calibri" w:eastAsia="Calibri"/>
          <w:b/>
          <w:caps/>
          <w:color w:val="66736E"/>
          <w:sz w:val="18"/>
        </w:rPr>
        <w:t>INSTRUMENT DE MANAGEMENT</w:t>
      </w:r>
    </w:p>
    <w:p>
      <w:pPr>
        <w:keepNext/>
        <w:spacing w:before="0" w:after="200"/>
      </w:pPr>
      <w:r>
        <w:rPr>
          <w:rFonts w:ascii="Calibri" w:hAnsi="Calibri" w:eastAsia="Calibri"/>
          <w:b/>
          <w:color w:val="092F29"/>
          <w:sz w:val="56"/>
        </w:rPr>
        <w:t>Model de plan anual de măsuri de mediu</w:t>
      </w:r>
    </w:p>
    <w:p>
      <w:pPr>
        <w:spacing w:before="0" w:after="360" w:line="288" w:lineRule="auto"/>
      </w:pPr>
      <w:r>
        <w:rPr>
          <w:rFonts w:ascii="Calibri" w:hAnsi="Calibri" w:eastAsia="Calibri"/>
          <w:color w:val="66736E"/>
          <w:sz w:val="25"/>
        </w:rPr>
        <w:t>Transformă obligațiile, constatările și obiectivele într-un program anual cu responsabil, resurse, indicator și dovadă.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800"/>
        <w:gridCol w:w="7560"/>
      </w:tblGrid>
      <w:tr>
        <w:trPr>
          <w:cantSplit/>
          <w:tblHeader w:val="true"/>
        </w:trPr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Informație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Destinat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Firme și instituții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Format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Model editabil Word și versiune PDF pentru consultare/print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Actualizare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25 august 2026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Statut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Instrument orientativ. Necesită verificare și adaptare înainte de utilizare externă.</w:t>
            </w:r>
          </w:p>
        </w:tc>
      </w:tr>
    </w:tbl>
    <w:p>
      <w:pPr>
        <w:spacing w:after="40"/>
      </w:pPr>
    </w:p>
    <w:p>
      <w:pPr>
        <w:pStyle w:val="Heading1"/>
      </w:pPr>
      <w:r>
        <w:t>1. Scopul și utilizarea documentului</w:t>
      </w:r>
    </w:p>
    <w:p>
      <w:pPr>
        <w:keepLines/>
        <w:spacing w:before="80" w:after="120" w:line="288" w:lineRule="auto"/>
        <w:ind w:left="173" w:right="173"/>
        <w:shd w:fill="E7EDEB"/>
        <w:pBdr>
          <w:top w:val="single" w:sz="4" w:space="8" w:color="E7EDEB"/>
          <w:left w:val="single" w:sz="4" w:space="8" w:color="E7EDEB"/>
          <w:bottom w:val="single" w:sz="4" w:space="8" w:color="E7EDEB"/>
          <w:right w:val="single" w:sz="4" w:space="8" w:color="E7EDEB"/>
        </w:pBdr>
      </w:pPr>
      <w:r>
        <w:rPr>
          <w:rFonts w:ascii="Calibri" w:hAnsi="Calibri" w:eastAsia="Calibri"/>
          <w:b/>
          <w:color w:val="092F29"/>
          <w:sz w:val="17"/>
        </w:rPr>
        <w:t>SCOP</w:t>
        <w:br/>
      </w:r>
      <w:r>
        <w:rPr>
          <w:rFonts w:ascii="Calibri" w:hAnsi="Calibri" w:eastAsia="Calibri"/>
          <w:color w:val="092F29"/>
          <w:sz w:val="21"/>
        </w:rPr>
        <w:t>Planul anual este instrumentul de execuție și raportare al organizației. Nu înlocuiește planurile sau programele cerute în forme specifice de lege, autorizație, contract sau act de control.</w:t>
      </w:r>
    </w:p>
    <w:p>
      <w:pPr>
        <w:spacing w:after="20"/>
      </w:pPr>
    </w:p>
    <w:p>
      <w:pPr>
        <w:pStyle w:val="Heading2"/>
      </w:pPr>
      <w:r>
        <w:t>Când este util</w:t>
      </w:r>
    </w:p>
    <w:p>
      <w:pPr>
        <w:pStyle w:val="ListBullet"/>
      </w:pPr>
      <w:r>
        <w:rPr>
          <w:rFonts w:ascii="Calibri" w:hAnsi="Calibri" w:eastAsia="Calibri"/>
        </w:rPr>
        <w:t>Planificare anuală și bugetare.</w:t>
      </w:r>
    </w:p>
    <w:p>
      <w:pPr>
        <w:pStyle w:val="ListBullet"/>
      </w:pPr>
      <w:r>
        <w:rPr>
          <w:rFonts w:ascii="Calibri" w:hAnsi="Calibri" w:eastAsia="Calibri"/>
        </w:rPr>
        <w:t>Închiderea constatărilor de audit sau control.</w:t>
      </w:r>
    </w:p>
    <w:p>
      <w:pPr>
        <w:pStyle w:val="ListBullet"/>
      </w:pPr>
      <w:r>
        <w:rPr>
          <w:rFonts w:ascii="Calibri" w:hAnsi="Calibri" w:eastAsia="Calibri"/>
        </w:rPr>
        <w:t>Urmărirea condițiilor din autorizații și contracte.</w:t>
      </w:r>
    </w:p>
    <w:p>
      <w:pPr>
        <w:pStyle w:val="ListBullet"/>
      </w:pPr>
      <w:r>
        <w:rPr>
          <w:rFonts w:ascii="Calibri" w:hAnsi="Calibri" w:eastAsia="Calibri"/>
        </w:rPr>
        <w:t>Raportarea periodică către conducere.</w:t>
      </w:r>
    </w:p>
    <w:p>
      <w:pPr>
        <w:pStyle w:val="Heading2"/>
      </w:pPr>
      <w:r>
        <w:t>Cum se folosește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Colectează obligațiile, condițiile, constatările și obiectivele într-o listă unică.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Prioritizează după legalitate, impact, probabilitate, termen și resurse.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Formulează acțiuni verificabile, nu intenții generale.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Alocă responsabil și resurse înainte de aprobarea planului.</w:t>
      </w:r>
    </w:p>
    <w:p>
      <w:pPr>
        <w:pStyle w:val="ListNumber"/>
        <w:keepNext w:val="0"/>
        <w:numPr>
          <w:ilvl w:val="0"/>
          <w:numId w:val="10"/>
        </w:numPr>
      </w:pPr>
      <w:r>
        <w:rPr>
          <w:rFonts w:ascii="Calibri" w:hAnsi="Calibri" w:eastAsia="Calibri"/>
        </w:rPr>
        <w:t>Raportează lunar și escaladează abaterile înainte de termen.</w:t>
      </w:r>
    </w:p>
    <w:p>
      <w:pPr>
        <w:pStyle w:val="Heading1"/>
      </w:pPr>
      <w:r>
        <w:t>2. Regulile planului</w:t>
      </w:r>
    </w:p>
    <w:p>
      <w:pPr>
        <w:pStyle w:val="ListBullet"/>
      </w:pPr>
      <w:r>
        <w:rPr>
          <w:rFonts w:ascii="Calibri" w:hAnsi="Calibri" w:eastAsia="Calibri"/>
        </w:rPr>
        <w:t>Fiecare măsură tratează o problemă, obligație sau obiectiv identificat.</w:t>
      </w:r>
    </w:p>
    <w:p>
      <w:pPr>
        <w:pStyle w:val="ListBullet"/>
      </w:pPr>
      <w:r>
        <w:rPr>
          <w:rFonts w:ascii="Calibri" w:hAnsi="Calibri" w:eastAsia="Calibri"/>
        </w:rPr>
        <w:t>Sursa este exactă: act și articol, autorizație și condiție, contract și clauză, proces-verbal și măsură, audit și constatare.</w:t>
      </w:r>
    </w:p>
    <w:p>
      <w:pPr>
        <w:pStyle w:val="ListBullet"/>
      </w:pPr>
      <w:r>
        <w:rPr>
          <w:rFonts w:ascii="Calibri" w:hAnsi="Calibri" w:eastAsia="Calibri"/>
        </w:rPr>
        <w:t>Termenul este o dată sau o frecvență, nu «permanent» fără un control periodic definit.</w:t>
      </w:r>
    </w:p>
    <w:p>
      <w:pPr>
        <w:pStyle w:val="ListBullet"/>
      </w:pPr>
      <w:r>
        <w:rPr>
          <w:rFonts w:ascii="Calibri" w:hAnsi="Calibri" w:eastAsia="Calibri"/>
        </w:rPr>
        <w:t>Indicatorul măsoară rezultatul; dovada arată că acțiunea a fost realizată.</w:t>
      </w:r>
    </w:p>
    <w:p>
      <w:pPr>
        <w:pStyle w:val="ListBullet"/>
      </w:pPr>
      <w:r>
        <w:rPr>
          <w:rFonts w:ascii="Calibri" w:hAnsi="Calibri" w:eastAsia="Calibri"/>
        </w:rPr>
        <w:t>Statusul se actualizează pe baza documentelor, iar întârzierile au decizie de escaladare.</w:t>
      </w:r>
    </w:p>
    <w:p>
      <w:pPr>
        <w:pStyle w:val="Heading1"/>
      </w:pPr>
      <w:r>
        <w:t>3. Criterii de prioritizare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900"/>
        <w:gridCol w:w="1800"/>
        <w:gridCol w:w="1800"/>
        <w:gridCol w:w="1800"/>
        <w:gridCol w:w="2060"/>
      </w:tblGrid>
      <w:tr>
        <w:trPr>
          <w:cantSplit/>
          <w:tblHeader w:val="true"/>
        </w:trPr>
        <w:tc>
          <w:tcPr>
            <w:tcW w:type="dxa" w:w="1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Criteriu</w:t>
            </w:r>
          </w:p>
        </w:tc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1 - redus</w:t>
            </w:r>
          </w:p>
        </w:tc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2 - moderat</w:t>
            </w:r>
          </w:p>
        </w:tc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3 - ridicat</w:t>
            </w:r>
          </w:p>
        </w:tc>
        <w:tc>
          <w:tcPr>
            <w:tcW w:type="dxa" w:w="20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4 - critic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Legal / termen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recomandare internă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obligație periodică fără întârziere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termen apropiat / abatere</w:t>
            </w:r>
          </w:p>
        </w:tc>
        <w:tc>
          <w:tcPr>
            <w:tcW w:type="dxa" w:w="2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lipsă act, termen depășit sau măsură obligatorie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Impact de mediu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nesemnificativ controlat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local și reversibil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semnificativ</w:t>
            </w:r>
          </w:p>
        </w:tc>
        <w:tc>
          <w:tcPr>
            <w:tcW w:type="dxa" w:w="2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risc imediat / incident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Impact operațional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fără întrerupere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efort limitat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cost sau blocaj relevant</w:t>
            </w:r>
          </w:p>
        </w:tc>
        <w:tc>
          <w:tcPr>
            <w:tcW w:type="dxa" w:w="2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suspendare / imposibilitatea activității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Probabilitate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rar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posibil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probabil</w:t>
            </w:r>
          </w:p>
        </w:tc>
        <w:tc>
          <w:tcPr>
            <w:tcW w:type="dxa" w:w="2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existent / repetitiv</w:t>
            </w:r>
          </w:p>
        </w:tc>
      </w:tr>
    </w:tbl>
    <w:p>
      <w:pPr>
        <w:spacing w:after="40"/>
      </w:pPr>
    </w:p>
    <w:p>
      <w:pPr>
        <w:keepLines/>
        <w:spacing w:before="80" w:after="12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REGULĂ</w:t>
        <w:br/>
      </w:r>
      <w:r>
        <w:rPr>
          <w:rFonts w:ascii="Calibri" w:hAnsi="Calibri" w:eastAsia="Calibri"/>
          <w:color w:val="092F29"/>
          <w:sz w:val="21"/>
        </w:rPr>
        <w:t>Scorul ajută ordonarea, dar nu amână o obligație cu termen legal și nu justifică funcționarea într-o situație nepermisă.</w:t>
      </w:r>
    </w:p>
    <w:p>
      <w:pPr>
        <w:spacing w:after="20"/>
      </w:pPr>
    </w:p>
    <w:p>
      <w:pPr>
        <w:pStyle w:val="Heading1"/>
      </w:pPr>
      <w:r>
        <w:t>4. Planul anual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600"/>
        <w:gridCol w:w="1300"/>
        <w:gridCol w:w="650"/>
        <w:gridCol w:w="1900"/>
        <w:gridCol w:w="1000"/>
        <w:gridCol w:w="800"/>
        <w:gridCol w:w="950"/>
        <w:gridCol w:w="1000"/>
        <w:gridCol w:w="1160"/>
      </w:tblGrid>
      <w:tr>
        <w:trPr>
          <w:cantSplit/>
          <w:tblHeader w:val="true"/>
        </w:trPr>
        <w:tc>
          <w:tcPr>
            <w:tcW w:type="dxa" w:w="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3"/>
              </w:rPr>
              <w:t>ID</w:t>
            </w:r>
          </w:p>
        </w:tc>
        <w:tc>
          <w:tcPr>
            <w:tcW w:type="dxa" w:w="1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3"/>
              </w:rPr>
              <w:t>Sursă / problemă</w:t>
            </w:r>
          </w:p>
        </w:tc>
        <w:tc>
          <w:tcPr>
            <w:tcW w:type="dxa" w:w="6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3"/>
              </w:rPr>
              <w:t>Risc</w:t>
            </w:r>
          </w:p>
        </w:tc>
        <w:tc>
          <w:tcPr>
            <w:tcW w:type="dxa" w:w="1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3"/>
              </w:rPr>
              <w:t>Măsură și rezultat urmărit</w:t>
            </w:r>
          </w:p>
        </w:tc>
        <w:tc>
          <w:tcPr>
            <w:tcW w:type="dxa" w:w="1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3"/>
              </w:rPr>
              <w:t>Responsabil</w:t>
            </w:r>
          </w:p>
        </w:tc>
        <w:tc>
          <w:tcPr>
            <w:tcW w:type="dxa" w:w="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3"/>
              </w:rPr>
              <w:t>Termen</w:t>
            </w:r>
          </w:p>
        </w:tc>
        <w:tc>
          <w:tcPr>
            <w:tcW w:type="dxa" w:w="9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3"/>
              </w:rPr>
              <w:t>Resurse</w:t>
            </w:r>
          </w:p>
        </w:tc>
        <w:tc>
          <w:tcPr>
            <w:tcW w:type="dxa" w:w="1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3"/>
              </w:rPr>
              <w:t>Indicator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3"/>
              </w:rPr>
              <w:t>Dovadă / status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M-01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Autorizație: condiția [___]</w:t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[scor]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Realizarea monitorizării și arhivarea buletinului validat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[data]</w:t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buget laborator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raport la termen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M-02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Audit: evidență lunară necorelată</w:t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[scor]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Reconcilierea stoc-generare-predare și aprobarea verificării lunare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[data]</w:t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timp intern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0 diferențe neexplicate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M-03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Obiectiv: reducerea eliminării</w:t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[scor]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Separarea fluxului [___] și contractarea destinației de valorificare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[data]</w:t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recipiente / contract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% valorificat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M-04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M-05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M-06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M-07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M-08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M-09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  <w:t>M-10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3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5. Calendarul revizuirii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500"/>
        <w:gridCol w:w="4300"/>
        <w:gridCol w:w="1600"/>
        <w:gridCol w:w="1960"/>
      </w:tblGrid>
      <w:tr>
        <w:trPr>
          <w:cantSplit/>
          <w:tblHeader w:val="true"/>
        </w:trPr>
        <w:tc>
          <w:tcPr>
            <w:tcW w:type="dxa" w:w="1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Moment</w:t>
            </w:r>
          </w:p>
        </w:tc>
        <w:tc>
          <w:tcPr>
            <w:tcW w:type="dxa" w:w="4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Activitate</w:t>
            </w:r>
          </w:p>
        </w:tc>
        <w:tc>
          <w:tcPr>
            <w:tcW w:type="dxa" w:w="1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Responsabil</w:t>
            </w:r>
          </w:p>
        </w:tc>
        <w:tc>
          <w:tcPr>
            <w:tcW w:type="dxa" w:w="19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Livrabil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Lunar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Actualizare status, dovezi, termene în 60 zile și abateri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raport lunar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Trimestrial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Analiza indicatorilor, costurilor și eficacității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revizuire de management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La modificare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Evaluarea impactului schimbării asupra autorizațiilor, fluxurilor și planului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notă și plan actualizat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Anual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Închiderea anului, lecții, obligații noi, buget și aprobarea planului următor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raport anual și plan nou</w:t>
            </w:r>
          </w:p>
        </w:tc>
      </w:tr>
    </w:tbl>
    <w:p>
      <w:pPr>
        <w:spacing w:after="40"/>
      </w:pPr>
    </w:p>
    <w:p>
      <w:pPr>
        <w:pStyle w:val="Heading1"/>
      </w:pPr>
      <w:r>
        <w:t>6. Raport lunar sintetic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3000"/>
        <w:gridCol w:w="1200"/>
        <w:gridCol w:w="1200"/>
        <w:gridCol w:w="1200"/>
        <w:gridCol w:w="2760"/>
      </w:tblGrid>
      <w:tr>
        <w:trPr>
          <w:cantSplit/>
          <w:tblHeader w:val="true"/>
        </w:trPr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Indicator</w:t>
            </w:r>
          </w:p>
        </w:tc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Valoare</w:t>
            </w:r>
          </w:p>
        </w:tc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Țintă</w:t>
            </w:r>
          </w:p>
        </w:tc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Tendință</w:t>
            </w:r>
          </w:p>
        </w:tc>
        <w:tc>
          <w:tcPr>
            <w:tcW w:type="dxa" w:w="27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Decizie necesară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Măsuri totale / închise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Măsuri depășite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0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Măsuri critice deschise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0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Buget utilizat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Incidente / reclamații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0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Indicatori de reducere / valorificare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7. Aprobarea și controlul modificărilor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600"/>
        <w:gridCol w:w="3260"/>
        <w:gridCol w:w="1500"/>
        <w:gridCol w:w="3000"/>
      </w:tblGrid>
      <w:tr>
        <w:trPr>
          <w:cantSplit/>
          <w:tblHeader w:val="true"/>
        </w:trPr>
        <w:tc>
          <w:tcPr>
            <w:tcW w:type="dxa" w:w="1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Rol</w:t>
            </w:r>
          </w:p>
        </w:tc>
        <w:tc>
          <w:tcPr>
            <w:tcW w:type="dxa" w:w="32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Nume / funcție</w:t>
            </w:r>
          </w:p>
        </w:tc>
        <w:tc>
          <w:tcPr>
            <w:tcW w:type="dxa" w:w="1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Data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Semnătură / aprobare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Elaborat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Verificat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Aprobat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Revizia nr. [___]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motivul reviziei: [___]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Surse oficiale consultate</w:t>
      </w:r>
    </w:p>
    <w:p>
      <w:pPr>
        <w:keepLines w:val="0"/>
      </w:pPr>
      <w:r>
        <w:rPr>
          <w:rFonts w:ascii="Calibri" w:hAnsi="Calibri" w:eastAsia="Calibri"/>
          <w:i w:val="0"/>
        </w:rPr>
        <w:t>Verificare editorială: 25 august 2026. Pentru utilizare externă se consultă forma consolidată disponibilă la data folosirii documentului.</w:t>
      </w:r>
    </w:p>
    <w:p>
      <w:pPr>
        <w:pStyle w:val="ListBullet"/>
      </w:pPr>
      <w:hyperlink r:id="rId13">
        <w:r>
          <w:rPr>
            <w:rFonts w:ascii="Calibri" w:hAnsi="Calibri"/>
            <w:color w:val="092F29"/>
            <w:u w:val="single"/>
          </w:rPr>
          <w:t>OUG nr. 195/2005 privind protecția mediului - forma consolidată</w:t>
        </w:r>
      </w:hyperlink>
    </w:p>
    <w:p>
      <w:pPr>
        <w:pStyle w:val="ListBullet"/>
      </w:pPr>
      <w:hyperlink r:id="rId14">
        <w:r>
          <w:rPr>
            <w:rFonts w:ascii="Calibri" w:hAnsi="Calibri"/>
            <w:color w:val="092F29"/>
            <w:u w:val="single"/>
          </w:rPr>
          <w:t>OUG nr. 92/2021 privind regimul deșeurilor - forma consolidată</w:t>
        </w:r>
      </w:hyperlink>
    </w:p>
    <w:p>
      <w:pPr>
        <w:pStyle w:val="ListBullet"/>
      </w:pPr>
      <w:hyperlink r:id="rId15">
        <w:r>
          <w:rPr>
            <w:rFonts w:ascii="Calibri" w:hAnsi="Calibri"/>
            <w:color w:val="092F29"/>
            <w:u w:val="single"/>
          </w:rPr>
          <w:t>HG nr. 856/2002 privind evidența gestiunii deșeurilor și lista deșeurilor</w:t>
        </w:r>
      </w:hyperlink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NOTĂ DE APLICABILITATE</w:t>
        <w:br/>
      </w:r>
      <w:r>
        <w:rPr>
          <w:rFonts w:ascii="Calibri" w:hAnsi="Calibri" w:eastAsia="Calibri"/>
          <w:color w:val="092F29"/>
          <w:sz w:val="21"/>
        </w:rPr>
        <w:t>Sursele concrete ale planului se introduc din documentele organizației. Acest model nu înlocuiește programul de prevenire și reducere prevăzut de art. 44 sau măsurile impuse într-o formă specifică.</w:t>
      </w:r>
    </w:p>
    <w:p>
      <w:pPr>
        <w:spacing w:after="20"/>
      </w:pPr>
    </w:p>
    <w:p>
      <w:pPr>
        <w:pStyle w:val="Heading1"/>
        <w:spacing w:before="160" w:after="100"/>
      </w:pPr>
      <w:r>
        <w:t>Ai nevoie de varianta personalizată?</w:t>
      </w:r>
    </w:p>
    <w:p>
      <w:pPr>
        <w:keepLines/>
        <w:spacing w:before="80" w:after="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MEDIU LA PUNCT</w:t>
        <w:br/>
      </w:r>
      <w:r>
        <w:rPr>
          <w:rFonts w:ascii="Calibri" w:hAnsi="Calibri" w:eastAsia="Calibri"/>
          <w:color w:val="092F29"/>
          <w:sz w:val="21"/>
        </w:rPr>
        <w:t>Construim planul din audit și matricea obligațiilor, stabilim riscul și indicatorii și putem urmări lunar termenele și dovezile până la închidere. Detalii și servicii: mediulapunct.ro.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92F2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92F2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92F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66736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legislatie.just.ro/Public/DetaliiDocument/67634" TargetMode="External"/><Relationship Id="rId14" Type="http://schemas.openxmlformats.org/officeDocument/2006/relationships/hyperlink" Target="https://legislatie.just.ro/Public/DetaliiDocument/245846" TargetMode="External"/><Relationship Id="rId15" Type="http://schemas.openxmlformats.org/officeDocument/2006/relationships/hyperlink" Target="https://legislatie.just.ro/Public/DetaliiDocument/38294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plan anual de măsuri de mediu</dc:title>
  <dc:subject>Instrument practic orientativ de conformare de mediu</dc:subject>
  <dc:creator>Mediu la Punct</dc:creator>
  <cp:keywords>mediu, deșeuri, conformare, model orientativ</cp:keywords>
  <dc:description>Actualizat la 25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